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sz w:val="44"/>
          <w:szCs w:val="44"/>
        </w:rPr>
        <w:t>蚌埠市</w:t>
      </w:r>
      <w:r>
        <w:rPr>
          <w:rFonts w:hint="eastAsia" w:ascii="方正小标宋简体" w:hAnsi="方正小标宋简体" w:eastAsia="方正小标宋简体" w:cs="方正小标宋简体"/>
          <w:b w:val="0"/>
          <w:bCs/>
          <w:sz w:val="44"/>
          <w:szCs w:val="44"/>
          <w:lang w:val="en-US" w:eastAsia="zh-CN"/>
        </w:rPr>
        <w:t>党员电化教育中心</w:t>
      </w:r>
      <w:r>
        <w:rPr>
          <w:rFonts w:hint="eastAsia" w:ascii="方正小标宋简体" w:hAnsi="方正小标宋简体" w:eastAsia="方正小标宋简体" w:cs="方正小标宋简体"/>
          <w:b w:val="0"/>
          <w:bCs/>
          <w:color w:val="auto"/>
          <w:sz w:val="44"/>
          <w:szCs w:val="44"/>
          <w:lang w:eastAsia="zh-CN"/>
        </w:rPr>
        <w:t>202</w:t>
      </w:r>
      <w:r>
        <w:rPr>
          <w:rFonts w:hint="eastAsia" w:ascii="方正小标宋简体" w:hAnsi="方正小标宋简体" w:eastAsia="方正小标宋简体" w:cs="方正小标宋简体"/>
          <w:b w:val="0"/>
          <w:bCs/>
          <w:color w:val="auto"/>
          <w:sz w:val="44"/>
          <w:szCs w:val="44"/>
          <w:lang w:val="en-US" w:eastAsia="zh-CN"/>
        </w:rPr>
        <w:t>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color w:val="auto"/>
          <w:sz w:val="44"/>
          <w:szCs w:val="44"/>
        </w:rPr>
        <w:t>度</w:t>
      </w:r>
    </w:p>
    <w:p>
      <w:pPr>
        <w:adjustRightInd w:val="0"/>
        <w:snapToGrid w:val="0"/>
        <w:spacing w:line="360" w:lineRule="auto"/>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单位决算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4"/>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w:t>
      </w:r>
      <w:r>
        <w:rPr>
          <w:rFonts w:hint="eastAsia" w:ascii="黑体" w:hAnsi="黑体" w:eastAsia="黑体"/>
          <w:bCs/>
          <w:sz w:val="44"/>
          <w:szCs w:val="44"/>
          <w:lang w:val="en-US" w:eastAsia="zh-CN"/>
        </w:rPr>
        <w:t>2</w:t>
      </w:r>
      <w:r>
        <w:rPr>
          <w:rFonts w:hint="eastAsia" w:ascii="黑体" w:hAnsi="黑体" w:eastAsia="黑体"/>
          <w:bCs/>
          <w:sz w:val="44"/>
          <w:szCs w:val="44"/>
        </w:rPr>
        <w:t>年</w:t>
      </w:r>
      <w:r>
        <w:rPr>
          <w:rFonts w:hint="eastAsia" w:ascii="黑体" w:hAnsi="黑体" w:eastAsia="黑体"/>
          <w:bCs/>
          <w:sz w:val="44"/>
          <w:szCs w:val="44"/>
          <w:lang w:val="en-US" w:eastAsia="zh-CN"/>
        </w:rPr>
        <w:t>9</w:t>
      </w:r>
      <w:r>
        <w:rPr>
          <w:rFonts w:hint="eastAsia" w:ascii="黑体" w:hAnsi="黑体" w:eastAsia="黑体"/>
          <w:bCs/>
          <w:sz w:val="44"/>
          <w:szCs w:val="44"/>
        </w:rPr>
        <w:t>月</w:t>
      </w:r>
    </w:p>
    <w:p>
      <w:pPr>
        <w:spacing w:line="580" w:lineRule="exact"/>
        <w:jc w:val="center"/>
        <w:rPr>
          <w:rFonts w:hint="eastAsia" w:ascii="黑体" w:hAnsi="宋体" w:eastAsia="黑体"/>
          <w:bCs/>
          <w:sz w:val="44"/>
          <w:szCs w:val="44"/>
        </w:rPr>
      </w:pPr>
    </w:p>
    <w:p>
      <w:pPr>
        <w:spacing w:line="580" w:lineRule="exact"/>
        <w:jc w:val="center"/>
        <w:rPr>
          <w:rFonts w:hint="eastAsia" w:ascii="黑体" w:hAnsi="宋体" w:eastAsia="黑体"/>
          <w:bCs/>
          <w:sz w:val="44"/>
          <w:szCs w:val="44"/>
        </w:rPr>
      </w:pPr>
      <w:r>
        <w:rPr>
          <w:rFonts w:hint="eastAsia" w:ascii="黑体" w:hAnsi="宋体" w:eastAsia="黑体"/>
          <w:bCs/>
          <w:sz w:val="44"/>
          <w:szCs w:val="44"/>
        </w:rPr>
        <w:t>目  录</w:t>
      </w:r>
    </w:p>
    <w:p>
      <w:pPr>
        <w:spacing w:line="550" w:lineRule="exact"/>
        <w:rPr>
          <w:rFonts w:hint="eastAsia" w:ascii="宋体" w:hAnsi="宋体"/>
          <w:b/>
          <w:sz w:val="32"/>
          <w:szCs w:val="32"/>
        </w:rPr>
      </w:pPr>
      <w:r>
        <w:rPr>
          <w:rFonts w:hint="eastAsia" w:ascii="宋体" w:hAnsi="宋体"/>
          <w:b/>
          <w:sz w:val="32"/>
          <w:szCs w:val="32"/>
        </w:rPr>
        <w:t>第一部分 单位概况</w:t>
      </w:r>
    </w:p>
    <w:p>
      <w:pPr>
        <w:spacing w:line="550" w:lineRule="exact"/>
        <w:rPr>
          <w:rFonts w:hint="eastAsia" w:ascii="宋体" w:hAnsi="宋体"/>
          <w:bCs/>
          <w:sz w:val="32"/>
          <w:szCs w:val="32"/>
        </w:rPr>
      </w:pPr>
      <w:r>
        <w:rPr>
          <w:rFonts w:hint="eastAsia" w:ascii="宋体" w:hAnsi="宋体"/>
          <w:bCs/>
          <w:sz w:val="32"/>
          <w:szCs w:val="32"/>
        </w:rPr>
        <w:t>一、主要职责</w:t>
      </w:r>
    </w:p>
    <w:p>
      <w:pPr>
        <w:spacing w:line="550" w:lineRule="exact"/>
        <w:rPr>
          <w:rFonts w:hint="eastAsia" w:ascii="宋体" w:hAnsi="宋体"/>
          <w:bCs/>
          <w:sz w:val="32"/>
          <w:szCs w:val="32"/>
        </w:rPr>
      </w:pPr>
      <w:r>
        <w:rPr>
          <w:rFonts w:hint="eastAsia" w:ascii="宋体" w:hAnsi="宋体"/>
          <w:bCs/>
          <w:sz w:val="32"/>
          <w:szCs w:val="32"/>
        </w:rPr>
        <w:t>二、单位决算构成</w:t>
      </w:r>
    </w:p>
    <w:p>
      <w:pPr>
        <w:spacing w:line="550" w:lineRule="exact"/>
        <w:rPr>
          <w:rFonts w:hint="eastAsia" w:ascii="宋体" w:hAnsi="宋体"/>
          <w:b/>
          <w:sz w:val="32"/>
          <w:szCs w:val="32"/>
        </w:rPr>
      </w:pPr>
      <w:r>
        <w:rPr>
          <w:rFonts w:hint="eastAsia" w:ascii="宋体" w:hAnsi="宋体"/>
          <w:b/>
          <w:sz w:val="32"/>
          <w:szCs w:val="32"/>
        </w:rPr>
        <w:t>第二部分 202</w:t>
      </w:r>
      <w:r>
        <w:rPr>
          <w:rFonts w:hint="eastAsia" w:ascii="宋体" w:hAnsi="宋体"/>
          <w:b/>
          <w:sz w:val="32"/>
          <w:szCs w:val="32"/>
          <w:lang w:val="en-US" w:eastAsia="zh-CN"/>
        </w:rPr>
        <w:t>1</w:t>
      </w:r>
      <w:r>
        <w:rPr>
          <w:rFonts w:hint="eastAsia" w:ascii="宋体" w:hAnsi="宋体"/>
          <w:b/>
          <w:sz w:val="32"/>
          <w:szCs w:val="32"/>
        </w:rPr>
        <w:t>年度单位决算表</w:t>
      </w:r>
    </w:p>
    <w:p>
      <w:pPr>
        <w:spacing w:line="550" w:lineRule="exact"/>
        <w:rPr>
          <w:rFonts w:hint="eastAsia" w:ascii="宋体" w:hAnsi="宋体"/>
          <w:bCs/>
          <w:sz w:val="32"/>
          <w:szCs w:val="32"/>
        </w:rPr>
      </w:pPr>
      <w:r>
        <w:rPr>
          <w:rFonts w:hint="eastAsia" w:ascii="宋体" w:hAnsi="宋体"/>
          <w:bCs/>
          <w:sz w:val="32"/>
          <w:szCs w:val="32"/>
        </w:rPr>
        <w:t>一、收入支出决算总表</w:t>
      </w:r>
    </w:p>
    <w:p>
      <w:pPr>
        <w:spacing w:line="550" w:lineRule="exact"/>
        <w:rPr>
          <w:rFonts w:hint="eastAsia" w:ascii="宋体" w:hAnsi="宋体"/>
          <w:bCs/>
          <w:sz w:val="32"/>
          <w:szCs w:val="32"/>
        </w:rPr>
      </w:pPr>
      <w:r>
        <w:rPr>
          <w:rFonts w:hint="eastAsia" w:ascii="宋体" w:hAnsi="宋体"/>
          <w:bCs/>
          <w:sz w:val="32"/>
          <w:szCs w:val="32"/>
        </w:rPr>
        <w:t>二、收入决算表</w:t>
      </w:r>
    </w:p>
    <w:p>
      <w:pPr>
        <w:spacing w:line="550" w:lineRule="exact"/>
        <w:rPr>
          <w:rFonts w:hint="eastAsia" w:ascii="宋体" w:hAnsi="宋体"/>
          <w:bCs/>
          <w:sz w:val="32"/>
          <w:szCs w:val="32"/>
        </w:rPr>
      </w:pPr>
      <w:r>
        <w:rPr>
          <w:rFonts w:hint="eastAsia" w:ascii="宋体" w:hAnsi="宋体"/>
          <w:bCs/>
          <w:sz w:val="32"/>
          <w:szCs w:val="32"/>
        </w:rPr>
        <w:t>三、支出决算表</w:t>
      </w:r>
    </w:p>
    <w:p>
      <w:pPr>
        <w:spacing w:line="550" w:lineRule="exact"/>
        <w:rPr>
          <w:rFonts w:hint="eastAsia" w:ascii="宋体" w:hAnsi="宋体"/>
          <w:bCs/>
          <w:sz w:val="32"/>
          <w:szCs w:val="32"/>
        </w:rPr>
      </w:pPr>
      <w:r>
        <w:rPr>
          <w:rFonts w:hint="eastAsia" w:ascii="宋体" w:hAnsi="宋体"/>
          <w:bCs/>
          <w:sz w:val="32"/>
          <w:szCs w:val="32"/>
        </w:rPr>
        <w:t>四、财政拨款收入支出决算总表</w:t>
      </w:r>
    </w:p>
    <w:p>
      <w:pPr>
        <w:spacing w:line="550" w:lineRule="exact"/>
        <w:rPr>
          <w:rFonts w:hint="eastAsia" w:ascii="宋体" w:hAnsi="宋体"/>
          <w:bCs/>
          <w:sz w:val="32"/>
          <w:szCs w:val="32"/>
        </w:rPr>
      </w:pPr>
      <w:r>
        <w:rPr>
          <w:rFonts w:hint="eastAsia" w:ascii="宋体" w:hAnsi="宋体"/>
          <w:bCs/>
          <w:sz w:val="32"/>
          <w:szCs w:val="32"/>
        </w:rPr>
        <w:t>五、一般公共预算财政拨款支出决算表</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六、一般公共预算财政拨款基本支出决算表</w:t>
      </w:r>
    </w:p>
    <w:p>
      <w:pPr>
        <w:spacing w:line="550" w:lineRule="exact"/>
        <w:rPr>
          <w:rFonts w:hint="eastAsia" w:ascii="宋体" w:hAnsi="宋体"/>
          <w:bCs/>
          <w:sz w:val="32"/>
          <w:szCs w:val="32"/>
        </w:rPr>
      </w:pPr>
      <w:r>
        <w:rPr>
          <w:rFonts w:hint="eastAsia" w:ascii="宋体" w:hAnsi="宋体"/>
          <w:bCs/>
          <w:sz w:val="32"/>
          <w:szCs w:val="32"/>
        </w:rPr>
        <w:t>七、政府性基金预算财政拨款收入支出决算表</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八、国有资本经营预算财政拨款支出决算表</w:t>
      </w:r>
    </w:p>
    <w:p>
      <w:pPr>
        <w:spacing w:line="550" w:lineRule="exact"/>
        <w:rPr>
          <w:rFonts w:hint="eastAsia" w:ascii="宋体" w:hAnsi="宋体"/>
          <w:b/>
          <w:sz w:val="32"/>
          <w:szCs w:val="32"/>
        </w:rPr>
      </w:pPr>
      <w:r>
        <w:rPr>
          <w:rFonts w:hint="eastAsia" w:ascii="宋体" w:hAnsi="宋体"/>
          <w:b/>
          <w:sz w:val="32"/>
          <w:szCs w:val="32"/>
        </w:rPr>
        <w:t>第三部分 202</w:t>
      </w:r>
      <w:r>
        <w:rPr>
          <w:rFonts w:hint="eastAsia" w:ascii="宋体" w:hAnsi="宋体"/>
          <w:b/>
          <w:sz w:val="32"/>
          <w:szCs w:val="32"/>
          <w:lang w:val="en-US" w:eastAsia="zh-CN"/>
        </w:rPr>
        <w:t>1</w:t>
      </w:r>
      <w:r>
        <w:rPr>
          <w:rFonts w:hint="eastAsia" w:ascii="宋体" w:hAnsi="宋体"/>
          <w:b/>
          <w:sz w:val="32"/>
          <w:szCs w:val="32"/>
        </w:rPr>
        <w:t>年度单位决算情况说明</w:t>
      </w:r>
    </w:p>
    <w:p>
      <w:pPr>
        <w:spacing w:line="550" w:lineRule="exact"/>
        <w:rPr>
          <w:rFonts w:hint="eastAsia" w:ascii="宋体" w:hAnsi="宋体"/>
          <w:bCs/>
          <w:sz w:val="32"/>
          <w:szCs w:val="32"/>
        </w:rPr>
      </w:pPr>
      <w:r>
        <w:rPr>
          <w:rFonts w:hint="eastAsia" w:ascii="宋体" w:hAnsi="宋体"/>
          <w:bCs/>
          <w:sz w:val="32"/>
          <w:szCs w:val="32"/>
        </w:rPr>
        <w:t>一、收入支出决算总体情况</w:t>
      </w:r>
      <w:r>
        <w:rPr>
          <w:rFonts w:hint="eastAsia" w:ascii="宋体" w:hAnsi="宋体"/>
          <w:bCs/>
          <w:color w:val="auto"/>
          <w:sz w:val="32"/>
          <w:szCs w:val="32"/>
        </w:rPr>
        <w:t>说明</w:t>
      </w:r>
    </w:p>
    <w:p>
      <w:pPr>
        <w:spacing w:line="550" w:lineRule="exact"/>
        <w:rPr>
          <w:rFonts w:hint="eastAsia" w:ascii="宋体" w:hAnsi="宋体"/>
          <w:bCs/>
          <w:sz w:val="32"/>
          <w:szCs w:val="32"/>
        </w:rPr>
      </w:pPr>
      <w:r>
        <w:rPr>
          <w:rFonts w:hint="eastAsia" w:ascii="宋体" w:hAnsi="宋体"/>
          <w:bCs/>
          <w:sz w:val="32"/>
          <w:szCs w:val="32"/>
        </w:rPr>
        <w:t>二、收入决算情况说明</w:t>
      </w:r>
    </w:p>
    <w:p>
      <w:pPr>
        <w:spacing w:line="550" w:lineRule="exact"/>
        <w:rPr>
          <w:rFonts w:hint="eastAsia" w:ascii="宋体" w:hAnsi="宋体"/>
          <w:bCs/>
          <w:sz w:val="32"/>
          <w:szCs w:val="32"/>
        </w:rPr>
      </w:pPr>
      <w:r>
        <w:rPr>
          <w:rFonts w:hint="eastAsia" w:ascii="宋体" w:hAnsi="宋体"/>
          <w:bCs/>
          <w:sz w:val="32"/>
          <w:szCs w:val="32"/>
        </w:rPr>
        <w:t>三、支出决算情况说明</w:t>
      </w:r>
    </w:p>
    <w:p>
      <w:pPr>
        <w:spacing w:line="550" w:lineRule="exact"/>
        <w:rPr>
          <w:rFonts w:hint="eastAsia" w:ascii="宋体" w:hAnsi="宋体"/>
          <w:bCs/>
          <w:sz w:val="32"/>
          <w:szCs w:val="32"/>
        </w:rPr>
      </w:pPr>
      <w:r>
        <w:rPr>
          <w:rFonts w:hint="eastAsia" w:ascii="宋体" w:hAnsi="宋体"/>
          <w:bCs/>
          <w:sz w:val="32"/>
          <w:szCs w:val="32"/>
        </w:rPr>
        <w:t>四、财政拨款收入支出决算总体情况说明</w:t>
      </w:r>
    </w:p>
    <w:p>
      <w:pPr>
        <w:spacing w:line="550" w:lineRule="exact"/>
        <w:rPr>
          <w:rFonts w:hint="eastAsia" w:ascii="宋体" w:hAnsi="宋体"/>
          <w:bCs/>
          <w:sz w:val="32"/>
          <w:szCs w:val="32"/>
        </w:rPr>
      </w:pPr>
      <w:r>
        <w:rPr>
          <w:rFonts w:hint="eastAsia" w:ascii="宋体" w:hAnsi="宋体"/>
          <w:bCs/>
          <w:sz w:val="32"/>
          <w:szCs w:val="32"/>
        </w:rPr>
        <w:t>五、一般公共预算财政拨款支出决算情况说明</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六、一般公共预算财政拨款基本支出决算情况说明</w:t>
      </w:r>
    </w:p>
    <w:p>
      <w:pPr>
        <w:spacing w:line="550" w:lineRule="exact"/>
        <w:rPr>
          <w:rFonts w:hint="eastAsia" w:ascii="宋体" w:hAnsi="宋体"/>
          <w:bCs/>
          <w:sz w:val="32"/>
          <w:szCs w:val="32"/>
        </w:rPr>
      </w:pPr>
      <w:r>
        <w:rPr>
          <w:rFonts w:hint="eastAsia" w:ascii="宋体" w:hAnsi="宋体"/>
          <w:bCs/>
          <w:sz w:val="32"/>
          <w:szCs w:val="32"/>
        </w:rPr>
        <w:t>七、政府性基金财政拨款收入支出决算情况说明</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八、国有资本经营预算财政拨款支出决算情况说明</w:t>
      </w:r>
    </w:p>
    <w:p>
      <w:pPr>
        <w:spacing w:line="550" w:lineRule="exact"/>
        <w:rPr>
          <w:rFonts w:hint="eastAsia" w:ascii="宋体" w:hAnsi="宋体"/>
          <w:bCs/>
          <w:sz w:val="32"/>
          <w:szCs w:val="32"/>
        </w:rPr>
      </w:pPr>
      <w:r>
        <w:rPr>
          <w:rFonts w:hint="eastAsia" w:ascii="宋体" w:hAnsi="宋体"/>
          <w:bCs/>
          <w:sz w:val="32"/>
          <w:szCs w:val="32"/>
        </w:rPr>
        <w:t>九、其他重要事项情况说明</w:t>
      </w:r>
    </w:p>
    <w:p>
      <w:pPr>
        <w:spacing w:line="550" w:lineRule="exact"/>
        <w:rPr>
          <w:rFonts w:hint="eastAsia" w:ascii="宋体" w:hAnsi="宋体"/>
          <w:b/>
          <w:sz w:val="36"/>
          <w:szCs w:val="36"/>
        </w:rPr>
      </w:pPr>
      <w:r>
        <w:rPr>
          <w:rFonts w:hint="eastAsia" w:ascii="宋体" w:hAnsi="宋体"/>
          <w:b/>
          <w:sz w:val="32"/>
          <w:szCs w:val="32"/>
        </w:rPr>
        <w:t>第四部分  名词解释</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hAnsi="仿宋" w:eastAsia="仿宋_GB2312" w:cs="Times New Roman"/>
          <w:b/>
          <w:bCs/>
          <w:color w:val="auto"/>
          <w:kern w:val="2"/>
          <w:sz w:val="32"/>
          <w:szCs w:val="32"/>
          <w:highlight w:val="lightGray"/>
          <w:lang w:val="en-US" w:eastAsia="zh-CN" w:bidi="ar-SA"/>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hAnsi="仿宋" w:eastAsia="仿宋_GB2312" w:cs="Times New Roman"/>
          <w:b/>
          <w:bCs/>
          <w:color w:val="auto"/>
          <w:kern w:val="2"/>
          <w:sz w:val="32"/>
          <w:szCs w:val="32"/>
          <w:highlight w:val="lightGray"/>
          <w:lang w:val="en-US" w:eastAsia="zh-CN" w:bidi="ar-SA"/>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hAnsi="仿宋" w:eastAsia="仿宋_GB2312" w:cs="Times New Roman"/>
          <w:b/>
          <w:bCs/>
          <w:color w:val="auto"/>
          <w:kern w:val="2"/>
          <w:sz w:val="32"/>
          <w:szCs w:val="32"/>
          <w:highlight w:val="lightGray"/>
          <w:lang w:val="en-US" w:eastAsia="zh-CN" w:bidi="ar-SA"/>
        </w:rPr>
      </w:pPr>
    </w:p>
    <w:p>
      <w:pPr>
        <w:ind w:firstLine="640" w:firstLineChars="200"/>
        <w:jc w:val="center"/>
        <w:rPr>
          <w:rFonts w:hint="eastAsia" w:ascii="黑体" w:hAnsi="黑体" w:eastAsia="黑体"/>
          <w:szCs w:val="32"/>
        </w:rPr>
      </w:pPr>
      <w:r>
        <w:rPr>
          <w:rFonts w:hint="eastAsia" w:ascii="黑体" w:hAnsi="黑体" w:eastAsia="黑体"/>
          <w:szCs w:val="32"/>
        </w:rPr>
        <w:t xml:space="preserve">第一部分 </w:t>
      </w:r>
      <w:r>
        <w:rPr>
          <w:rFonts w:hint="eastAsia" w:ascii="黑体" w:hAnsi="黑体" w:eastAsia="黑体"/>
          <w:szCs w:val="32"/>
          <w:lang w:eastAsia="zh-CN"/>
        </w:rPr>
        <w:t>单位</w:t>
      </w:r>
      <w:r>
        <w:rPr>
          <w:rFonts w:hint="eastAsia" w:ascii="黑体" w:hAnsi="黑体" w:eastAsia="黑体"/>
          <w:szCs w:val="32"/>
        </w:rPr>
        <w:t>概况</w:t>
      </w:r>
    </w:p>
    <w:p>
      <w:pPr>
        <w:ind w:firstLine="640" w:firstLineChars="200"/>
        <w:rPr>
          <w:rFonts w:hint="eastAsia" w:ascii="黑体" w:hAnsi="黑体" w:eastAsia="黑体"/>
          <w:szCs w:val="32"/>
        </w:rPr>
      </w:pPr>
      <w:r>
        <w:rPr>
          <w:rFonts w:hint="eastAsia" w:ascii="黑体" w:hAnsi="黑体" w:eastAsia="黑体"/>
          <w:szCs w:val="32"/>
        </w:rPr>
        <w:t>一、主要职责</w:t>
      </w:r>
    </w:p>
    <w:p>
      <w:pPr>
        <w:pStyle w:val="4"/>
        <w:shd w:val="clear" w:color="auto" w:fill="FFFFFF"/>
        <w:spacing w:before="352" w:beforeAutospacing="0" w:after="202" w:afterAutospacing="0" w:line="430" w:lineRule="atLeast"/>
        <w:ind w:firstLine="43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（一）</w:t>
      </w:r>
      <w:r>
        <w:rPr>
          <w:rFonts w:ascii="仿宋_GB2312" w:hAnsi="微软雅黑" w:eastAsia="仿宋_GB2312" w:cs="仿宋_GB2312"/>
          <w:color w:val="000000"/>
          <w:sz w:val="32"/>
          <w:szCs w:val="32"/>
          <w:shd w:val="clear" w:color="auto" w:fill="FFFFFF"/>
        </w:rPr>
        <w:t>研究提出全市党员教育工作的规划和计划并负责实施，对党员教育工作的有关问题进行调查研究，提出意见建议。</w:t>
      </w:r>
    </w:p>
    <w:p>
      <w:pPr>
        <w:pStyle w:val="4"/>
        <w:shd w:val="clear" w:color="auto" w:fill="FFFFFF"/>
        <w:spacing w:before="352" w:beforeAutospacing="0" w:after="202" w:afterAutospacing="0" w:line="430" w:lineRule="atLeast"/>
        <w:ind w:firstLine="43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（二）</w:t>
      </w:r>
      <w:r>
        <w:rPr>
          <w:rFonts w:ascii="仿宋_GB2312" w:hAnsi="微软雅黑" w:eastAsia="仿宋_GB2312" w:cs="仿宋_GB2312"/>
          <w:color w:val="000000"/>
          <w:sz w:val="32"/>
          <w:szCs w:val="32"/>
          <w:shd w:val="clear" w:color="auto" w:fill="FFFFFF"/>
        </w:rPr>
        <w:t>负责全市党员干部现代远程教育、党员电化教育、新媒体党员教育信息管理服务系统等工作的指导协调和督促检查。</w:t>
      </w:r>
    </w:p>
    <w:p>
      <w:pPr>
        <w:pStyle w:val="4"/>
        <w:shd w:val="clear" w:color="auto" w:fill="FFFFFF"/>
        <w:spacing w:before="352" w:beforeAutospacing="0" w:after="202" w:afterAutospacing="0" w:line="430" w:lineRule="atLeast"/>
        <w:ind w:firstLine="43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（三）</w:t>
      </w:r>
      <w:r>
        <w:rPr>
          <w:rFonts w:ascii="仿宋_GB2312" w:hAnsi="微软雅黑" w:eastAsia="仿宋_GB2312" w:cs="仿宋_GB2312"/>
          <w:color w:val="000000"/>
          <w:sz w:val="32"/>
          <w:szCs w:val="32"/>
          <w:shd w:val="clear" w:color="auto" w:fill="FFFFFF"/>
        </w:rPr>
        <w:t>承担市级平台的管理使用和服务保障工作。</w:t>
      </w:r>
    </w:p>
    <w:p>
      <w:pPr>
        <w:pStyle w:val="4"/>
        <w:shd w:val="clear" w:color="auto" w:fill="FFFFFF"/>
        <w:spacing w:before="352" w:beforeAutospacing="0" w:after="202" w:afterAutospacing="0" w:line="430" w:lineRule="atLeast"/>
        <w:ind w:firstLine="640" w:firstLineChars="20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(四）</w:t>
      </w:r>
      <w:r>
        <w:rPr>
          <w:rFonts w:ascii="仿宋_GB2312" w:hAnsi="微软雅黑" w:eastAsia="仿宋_GB2312" w:cs="仿宋_GB2312"/>
          <w:color w:val="000000"/>
          <w:sz w:val="32"/>
          <w:szCs w:val="32"/>
          <w:shd w:val="clear" w:color="auto" w:fill="FFFFFF"/>
        </w:rPr>
        <w:t>负责党员教育资料和教材的组织编写及制作。</w:t>
      </w:r>
    </w:p>
    <w:p>
      <w:pPr>
        <w:pStyle w:val="4"/>
        <w:shd w:val="clear" w:color="auto" w:fill="FFFFFF"/>
        <w:spacing w:before="352" w:beforeAutospacing="0" w:after="202" w:afterAutospacing="0" w:line="430" w:lineRule="atLeast"/>
        <w:ind w:firstLine="43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（五）</w:t>
      </w:r>
      <w:r>
        <w:rPr>
          <w:rFonts w:ascii="仿宋_GB2312" w:hAnsi="微软雅黑" w:eastAsia="仿宋_GB2312" w:cs="仿宋_GB2312"/>
          <w:color w:val="000000"/>
          <w:sz w:val="32"/>
          <w:szCs w:val="32"/>
          <w:shd w:val="clear" w:color="auto" w:fill="FFFFFF"/>
        </w:rPr>
        <w:t>会同有关单位共同实施全市党员教育培训重点工程，指导全市党员教育教学资源开发与教材建设。</w:t>
      </w:r>
    </w:p>
    <w:p>
      <w:pPr>
        <w:pStyle w:val="4"/>
        <w:shd w:val="clear" w:color="auto" w:fill="FFFFFF"/>
        <w:spacing w:before="352" w:beforeAutospacing="0" w:after="202" w:afterAutospacing="0" w:line="430" w:lineRule="atLeast"/>
        <w:ind w:firstLine="430"/>
        <w:rPr>
          <w:rFonts w:ascii="仿宋_GB2312" w:hAnsi="微软雅黑" w:eastAsia="仿宋_GB2312" w:cs="仿宋_GB2312"/>
          <w:color w:val="000000"/>
          <w:sz w:val="32"/>
          <w:szCs w:val="32"/>
          <w:shd w:val="clear" w:color="auto" w:fill="FFFFFF"/>
        </w:rPr>
      </w:pPr>
      <w:r>
        <w:rPr>
          <w:rFonts w:hint="eastAsia" w:ascii="仿宋_GB2312" w:eastAsia="仿宋_GB2312"/>
          <w:sz w:val="32"/>
          <w:szCs w:val="32"/>
        </w:rPr>
        <w:t>（六）</w:t>
      </w:r>
      <w:r>
        <w:rPr>
          <w:rFonts w:hint="eastAsia" w:ascii="仿宋_GB2312" w:hAnsi="微软雅黑" w:eastAsia="仿宋_GB2312" w:cs="仿宋_GB2312"/>
          <w:color w:val="000000"/>
          <w:sz w:val="32"/>
          <w:szCs w:val="32"/>
          <w:shd w:val="clear" w:color="auto" w:fill="FFFFFF"/>
        </w:rPr>
        <w:t>完成上级交办的其他任务。</w:t>
      </w:r>
    </w:p>
    <w:p>
      <w:pPr>
        <w:ind w:firstLine="640" w:firstLineChars="200"/>
        <w:rPr>
          <w:rFonts w:hint="eastAsia" w:ascii="黑体" w:hAnsi="黑体" w:eastAsia="黑体"/>
          <w:szCs w:val="32"/>
        </w:rPr>
      </w:pPr>
      <w:r>
        <w:rPr>
          <w:rFonts w:hint="eastAsia" w:ascii="黑体" w:hAnsi="黑体" w:eastAsia="黑体"/>
          <w:szCs w:val="32"/>
        </w:rPr>
        <w:t>二、单位决算构成</w:t>
      </w:r>
    </w:p>
    <w:p>
      <w:pPr>
        <w:ind w:firstLine="640" w:firstLineChars="200"/>
        <w:jc w:val="both"/>
        <w:rPr>
          <w:rFonts w:hint="eastAsia" w:ascii="仿宋_GB2312" w:hAnsi="仿宋" w:eastAsia="楷体_GB2312"/>
          <w:color w:val="auto"/>
          <w:szCs w:val="32"/>
          <w:lang w:val="en-US" w:eastAsia="zh-CN"/>
        </w:rPr>
      </w:pPr>
      <w:r>
        <w:rPr>
          <w:rFonts w:hint="eastAsia" w:ascii="仿宋_GB2312" w:hAnsi="仿宋"/>
          <w:color w:val="auto"/>
          <w:szCs w:val="32"/>
        </w:rPr>
        <w:t>从决算单位构成看，</w:t>
      </w:r>
      <w:r>
        <w:rPr>
          <w:rFonts w:hint="eastAsia" w:ascii="仿宋_GB2312" w:hAnsi="仿宋"/>
          <w:color w:val="auto"/>
          <w:szCs w:val="32"/>
          <w:lang w:eastAsia="zh-CN"/>
        </w:rPr>
        <w:t>蚌埠市</w:t>
      </w:r>
      <w:r>
        <w:rPr>
          <w:rFonts w:hint="eastAsia" w:ascii="仿宋_GB2312" w:hAnsi="仿宋"/>
          <w:color w:val="auto"/>
          <w:szCs w:val="32"/>
          <w:lang w:val="en-US" w:eastAsia="zh-CN"/>
        </w:rPr>
        <w:t>党员电化教育中心</w:t>
      </w:r>
      <w:r>
        <w:rPr>
          <w:rFonts w:hint="eastAsia" w:ascii="仿宋_GB2312" w:hAnsi="仿宋"/>
          <w:color w:val="auto"/>
          <w:szCs w:val="32"/>
        </w:rPr>
        <w:t>202</w:t>
      </w:r>
      <w:r>
        <w:rPr>
          <w:rFonts w:hint="eastAsia" w:ascii="仿宋_GB2312" w:hAnsi="仿宋"/>
          <w:color w:val="auto"/>
          <w:szCs w:val="32"/>
          <w:lang w:val="en-US" w:eastAsia="zh-CN"/>
        </w:rPr>
        <w:t>1</w:t>
      </w:r>
      <w:r>
        <w:rPr>
          <w:rFonts w:hint="eastAsia" w:ascii="仿宋_GB2312" w:hAnsi="仿宋"/>
          <w:color w:val="auto"/>
          <w:szCs w:val="32"/>
        </w:rPr>
        <w:t>年度决算</w:t>
      </w:r>
      <w:r>
        <w:rPr>
          <w:rFonts w:hint="eastAsia" w:ascii="仿宋_GB2312" w:hAnsi="仿宋"/>
          <w:color w:val="auto"/>
          <w:szCs w:val="32"/>
          <w:lang w:val="en-US" w:eastAsia="zh-CN"/>
        </w:rPr>
        <w:t>仅</w:t>
      </w:r>
      <w:r>
        <w:rPr>
          <w:rFonts w:hint="eastAsia" w:ascii="仿宋_GB2312" w:hAnsi="仿宋"/>
          <w:color w:val="auto"/>
          <w:szCs w:val="32"/>
        </w:rPr>
        <w:t>包括本级决算</w:t>
      </w:r>
      <w:r>
        <w:rPr>
          <w:rFonts w:hint="eastAsia" w:ascii="仿宋_GB2312" w:hAnsi="仿宋"/>
          <w:color w:val="auto"/>
          <w:szCs w:val="32"/>
          <w:lang w:eastAsia="zh-CN"/>
        </w:rPr>
        <w:t>，</w:t>
      </w:r>
      <w:r>
        <w:rPr>
          <w:rFonts w:hint="eastAsia" w:ascii="仿宋_GB2312" w:hAnsi="仿宋"/>
          <w:color w:val="auto"/>
          <w:szCs w:val="32"/>
          <w:lang w:val="en-US" w:eastAsia="zh-CN"/>
        </w:rPr>
        <w:t>无其他下属单位决算，</w:t>
      </w:r>
      <w:r>
        <w:rPr>
          <w:rFonts w:hint="eastAsia" w:ascii="仿宋_GB2312" w:hAnsi="仿宋"/>
          <w:color w:val="auto"/>
          <w:szCs w:val="32"/>
        </w:rPr>
        <w:t>与预算</w:t>
      </w:r>
      <w:r>
        <w:rPr>
          <w:rFonts w:hint="eastAsia" w:ascii="仿宋_GB2312" w:hAnsi="仿宋"/>
          <w:color w:val="auto"/>
          <w:szCs w:val="32"/>
          <w:lang w:eastAsia="zh-CN"/>
        </w:rPr>
        <w:t>相比</w:t>
      </w:r>
      <w:r>
        <w:rPr>
          <w:rFonts w:hint="eastAsia" w:ascii="楷体_GB2312" w:hAnsi="仿宋" w:eastAsia="楷体_GB2312"/>
          <w:color w:val="auto"/>
          <w:szCs w:val="32"/>
        </w:rPr>
        <w:t>，</w:t>
      </w:r>
      <w:r>
        <w:rPr>
          <w:rFonts w:hint="eastAsia" w:ascii="仿宋_GB2312" w:hAnsi="仿宋"/>
          <w:color w:val="auto"/>
          <w:szCs w:val="32"/>
          <w:lang w:val="en-US" w:eastAsia="zh-CN"/>
        </w:rPr>
        <w:t>无增减变化。</w:t>
      </w:r>
    </w:p>
    <w:p>
      <w:pPr>
        <w:ind w:firstLine="640" w:firstLineChars="200"/>
        <w:rPr>
          <w:rFonts w:hint="eastAsia" w:ascii="仿宋_GB2312" w:hAnsi="仿宋"/>
          <w:color w:val="auto"/>
          <w:szCs w:val="32"/>
        </w:rPr>
      </w:pPr>
      <w:r>
        <w:rPr>
          <w:rFonts w:hint="eastAsia" w:ascii="仿宋_GB2312" w:hAnsi="仿宋"/>
          <w:color w:val="auto"/>
          <w:szCs w:val="32"/>
        </w:rPr>
        <w:t>纳入</w:t>
      </w:r>
      <w:r>
        <w:rPr>
          <w:rFonts w:hint="eastAsia" w:ascii="仿宋_GB2312" w:hAnsi="仿宋"/>
          <w:color w:val="auto"/>
          <w:szCs w:val="32"/>
          <w:lang w:eastAsia="zh-CN"/>
        </w:rPr>
        <w:t>蚌埠市</w:t>
      </w:r>
      <w:r>
        <w:rPr>
          <w:rFonts w:hint="eastAsia" w:ascii="仿宋_GB2312" w:hAnsi="仿宋"/>
          <w:color w:val="auto"/>
          <w:szCs w:val="32"/>
          <w:lang w:val="en-US" w:eastAsia="zh-CN"/>
        </w:rPr>
        <w:t>党员电化教育中心</w:t>
      </w:r>
      <w:r>
        <w:rPr>
          <w:rFonts w:hint="eastAsia" w:ascii="仿宋_GB2312" w:hAnsi="仿宋"/>
          <w:color w:val="auto"/>
          <w:szCs w:val="32"/>
        </w:rPr>
        <w:t>202</w:t>
      </w:r>
      <w:r>
        <w:rPr>
          <w:rFonts w:hint="eastAsia" w:ascii="仿宋_GB2312" w:hAnsi="仿宋"/>
          <w:color w:val="auto"/>
          <w:szCs w:val="32"/>
          <w:lang w:val="en-US" w:eastAsia="zh-CN"/>
        </w:rPr>
        <w:t>1</w:t>
      </w:r>
      <w:r>
        <w:rPr>
          <w:rFonts w:hint="eastAsia" w:ascii="仿宋_GB2312" w:hAnsi="仿宋"/>
          <w:color w:val="auto"/>
          <w:szCs w:val="32"/>
        </w:rPr>
        <w:t>年度决算编制范围的单位共</w:t>
      </w:r>
      <w:r>
        <w:rPr>
          <w:rFonts w:hint="eastAsia" w:ascii="仿宋_GB2312" w:hAnsi="仿宋"/>
          <w:color w:val="auto"/>
          <w:szCs w:val="32"/>
          <w:lang w:val="en-US" w:eastAsia="zh-CN"/>
        </w:rPr>
        <w:t>1</w:t>
      </w:r>
      <w:r>
        <w:rPr>
          <w:rFonts w:hint="eastAsia" w:ascii="仿宋_GB2312" w:hAnsi="仿宋"/>
          <w:color w:val="auto"/>
          <w:szCs w:val="32"/>
        </w:rPr>
        <w:t>个，详细情况见下表：</w:t>
      </w:r>
    </w:p>
    <w:tbl>
      <w:tblPr>
        <w:tblStyle w:val="5"/>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宋体" w:hAnsi="宋体" w:eastAsia="仿宋_GB2312"/>
                <w:sz w:val="24"/>
                <w:lang w:val="en-US" w:eastAsia="zh-CN"/>
              </w:rPr>
            </w:pPr>
            <w:r>
              <w:rPr>
                <w:rFonts w:hint="eastAsia" w:ascii="宋体" w:hAnsi="宋体"/>
                <w:sz w:val="24"/>
                <w:lang w:eastAsia="zh-CN"/>
              </w:rPr>
              <w:t>蚌埠市</w:t>
            </w:r>
            <w:r>
              <w:rPr>
                <w:rFonts w:hint="eastAsia" w:ascii="宋体" w:hAnsi="宋体"/>
                <w:sz w:val="24"/>
                <w:lang w:val="en-US" w:eastAsia="zh-CN"/>
              </w:rPr>
              <w:t>党员电化教育中心</w:t>
            </w:r>
          </w:p>
        </w:tc>
      </w:tr>
    </w:tbl>
    <w:p>
      <w:pPr>
        <w:rPr>
          <w:rFonts w:hint="eastAsia" w:ascii="仿宋_GB2312" w:hAnsi="仿宋"/>
          <w:color w:val="auto"/>
          <w:szCs w:val="32"/>
        </w:rPr>
      </w:pPr>
    </w:p>
    <w:p>
      <w:pPr>
        <w:numPr>
          <w:ilvl w:val="0"/>
          <w:numId w:val="1"/>
        </w:numPr>
        <w:ind w:firstLine="640" w:firstLineChars="200"/>
        <w:jc w:val="center"/>
        <w:rPr>
          <w:rFonts w:hint="eastAsia" w:ascii="黑体" w:hAnsi="黑体" w:eastAsia="黑体"/>
          <w:szCs w:val="32"/>
        </w:rPr>
      </w:pPr>
      <w:r>
        <w:rPr>
          <w:rFonts w:hint="eastAsia" w:ascii="黑体" w:hAnsi="黑体" w:eastAsia="黑体"/>
          <w:szCs w:val="32"/>
          <w:lang w:eastAsia="zh-CN"/>
        </w:rPr>
        <w:t>2021</w:t>
      </w:r>
      <w:r>
        <w:rPr>
          <w:rFonts w:hint="eastAsia" w:ascii="黑体" w:hAnsi="黑体" w:eastAsia="黑体"/>
          <w:szCs w:val="32"/>
        </w:rPr>
        <w:t>年</w:t>
      </w:r>
      <w:r>
        <w:rPr>
          <w:rFonts w:hint="eastAsia" w:ascii="黑体" w:hAnsi="黑体" w:eastAsia="黑体"/>
          <w:color w:val="auto"/>
          <w:szCs w:val="32"/>
        </w:rPr>
        <w:t>度</w:t>
      </w:r>
      <w:r>
        <w:rPr>
          <w:rFonts w:hint="eastAsia" w:ascii="黑体" w:hAnsi="黑体" w:eastAsia="黑体"/>
          <w:szCs w:val="32"/>
          <w:lang w:eastAsia="zh-CN"/>
        </w:rPr>
        <w:t>单位决算</w:t>
      </w:r>
      <w:r>
        <w:rPr>
          <w:rFonts w:hint="eastAsia" w:ascii="黑体" w:hAnsi="黑体" w:eastAsia="黑体"/>
          <w:szCs w:val="32"/>
        </w:rPr>
        <w:t>表</w:t>
      </w:r>
    </w:p>
    <w:tbl>
      <w:tblPr>
        <w:tblStyle w:val="5"/>
        <w:tblW w:w="8980" w:type="dxa"/>
        <w:tblInd w:w="-3" w:type="dxa"/>
        <w:tblLayout w:type="fixed"/>
        <w:tblCellMar>
          <w:top w:w="0" w:type="dxa"/>
          <w:left w:w="0" w:type="dxa"/>
          <w:bottom w:w="0" w:type="dxa"/>
          <w:right w:w="0" w:type="dxa"/>
        </w:tblCellMar>
      </w:tblPr>
      <w:tblGrid>
        <w:gridCol w:w="3"/>
        <w:gridCol w:w="2790"/>
        <w:gridCol w:w="223"/>
        <w:gridCol w:w="436"/>
        <w:gridCol w:w="103"/>
        <w:gridCol w:w="333"/>
        <w:gridCol w:w="572"/>
        <w:gridCol w:w="3243"/>
        <w:gridCol w:w="141"/>
        <w:gridCol w:w="469"/>
        <w:gridCol w:w="413"/>
        <w:gridCol w:w="257"/>
        <w:gridCol w:w="625"/>
        <w:gridCol w:w="436"/>
        <w:gridCol w:w="436"/>
        <w:gridCol w:w="656"/>
        <w:gridCol w:w="436"/>
        <w:gridCol w:w="436"/>
        <w:gridCol w:w="1336"/>
      </w:tblGrid>
      <w:tr>
        <w:tblPrEx>
          <w:tblCellMar>
            <w:top w:w="0" w:type="dxa"/>
            <w:left w:w="0" w:type="dxa"/>
            <w:bottom w:w="0" w:type="dxa"/>
            <w:right w:w="0" w:type="dxa"/>
          </w:tblCellMar>
        </w:tblPrEx>
        <w:trPr>
          <w:gridBefore w:val="1"/>
          <w:gridAfter w:val="7"/>
          <w:wBefore w:w="3" w:type="dxa"/>
          <w:wAfter w:w="4361" w:type="dxa"/>
          <w:trHeight w:val="421" w:hRule="atLeast"/>
        </w:trPr>
        <w:tc>
          <w:tcPr>
            <w:tcW w:w="8980" w:type="dxa"/>
            <w:gridSpan w:val="11"/>
            <w:tcBorders>
              <w:top w:val="nil"/>
              <w:left w:val="nil"/>
              <w:bottom w:val="nil"/>
              <w:right w:val="nil"/>
            </w:tcBorders>
            <w:noWrap w:val="0"/>
            <w:tcMar>
              <w:top w:w="12" w:type="dxa"/>
              <w:left w:w="12" w:type="dxa"/>
              <w:right w:w="12" w:type="dxa"/>
            </w:tcMar>
            <w:vAlign w:val="bottom"/>
          </w:tcPr>
          <w:p>
            <w:pPr>
              <w:ind w:firstLine="640" w:firstLineChars="200"/>
              <w:jc w:val="center"/>
              <w:rPr>
                <w:rFonts w:hint="eastAsia" w:ascii="宋体" w:hAnsi="宋体" w:eastAsia="宋体" w:cs="宋体"/>
                <w:i w:val="0"/>
                <w:color w:val="000000"/>
                <w:sz w:val="30"/>
                <w:szCs w:val="30"/>
                <w:u w:val="none"/>
              </w:rPr>
            </w:pPr>
            <w:r>
              <w:rPr>
                <w:rFonts w:hint="eastAsia" w:ascii="黑体" w:hAnsi="黑体" w:eastAsia="黑体"/>
                <w:szCs w:val="32"/>
                <w:lang w:val="en-US" w:eastAsia="zh-CN"/>
              </w:rPr>
              <w:t>收入支出决算总表</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nil"/>
              <w:bottom w:val="nil"/>
              <w:right w:val="nil"/>
            </w:tcBorders>
            <w:noWrap w:val="0"/>
            <w:tcMar>
              <w:top w:w="12" w:type="dxa"/>
              <w:left w:w="12" w:type="dxa"/>
              <w:right w:w="12" w:type="dxa"/>
            </w:tcMar>
            <w:vAlign w:val="bottom"/>
          </w:tcPr>
          <w:p>
            <w:pPr>
              <w:rPr>
                <w:rFonts w:hint="eastAsia" w:ascii="Arial" w:hAnsi="Arial" w:cs="Arial"/>
                <w:i w:val="0"/>
                <w:color w:val="000000"/>
                <w:sz w:val="20"/>
                <w:szCs w:val="20"/>
                <w:u w:val="none"/>
              </w:rPr>
            </w:pPr>
          </w:p>
        </w:tc>
        <w:tc>
          <w:tcPr>
            <w:tcW w:w="762" w:type="dxa"/>
            <w:gridSpan w:val="3"/>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905" w:type="dxa"/>
            <w:gridSpan w:val="2"/>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3243" w:type="dxa"/>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1280" w:type="dxa"/>
            <w:gridSpan w:val="4"/>
            <w:tcBorders>
              <w:top w:val="nil"/>
              <w:left w:val="nil"/>
              <w:bottom w:val="nil"/>
              <w:right w:val="nil"/>
            </w:tcBorders>
            <w:noWrap w:val="0"/>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nil"/>
              <w:bottom w:val="nil"/>
              <w:right w:val="nil"/>
            </w:tcBorders>
            <w:noWrap w:val="0"/>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单位：</w:t>
            </w:r>
          </w:p>
        </w:tc>
        <w:tc>
          <w:tcPr>
            <w:tcW w:w="762" w:type="dxa"/>
            <w:gridSpan w:val="3"/>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905" w:type="dxa"/>
            <w:gridSpan w:val="2"/>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3243" w:type="dxa"/>
            <w:tcBorders>
              <w:top w:val="nil"/>
              <w:left w:val="nil"/>
              <w:bottom w:val="nil"/>
              <w:right w:val="nil"/>
            </w:tcBorders>
            <w:noWrap w:val="0"/>
            <w:tcMar>
              <w:top w:w="12" w:type="dxa"/>
              <w:left w:w="12" w:type="dxa"/>
              <w:right w:w="12" w:type="dxa"/>
            </w:tcMar>
            <w:vAlign w:val="bottom"/>
          </w:tcPr>
          <w:p>
            <w:pPr>
              <w:rPr>
                <w:rFonts w:hint="default" w:ascii="Arial" w:hAnsi="Arial" w:cs="Arial"/>
                <w:i w:val="0"/>
                <w:color w:val="000000"/>
                <w:sz w:val="20"/>
                <w:szCs w:val="20"/>
                <w:u w:val="none"/>
              </w:rPr>
            </w:pPr>
          </w:p>
        </w:tc>
        <w:tc>
          <w:tcPr>
            <w:tcW w:w="1280" w:type="dxa"/>
            <w:gridSpan w:val="4"/>
            <w:tcBorders>
              <w:top w:val="nil"/>
              <w:left w:val="nil"/>
              <w:bottom w:val="nil"/>
              <w:right w:val="nil"/>
            </w:tcBorders>
            <w:noWrap w:val="0"/>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gridBefore w:val="1"/>
          <w:gridAfter w:val="7"/>
          <w:wBefore w:w="3" w:type="dxa"/>
          <w:wAfter w:w="4361" w:type="dxa"/>
          <w:trHeight w:val="222" w:hRule="atLeast"/>
        </w:trPr>
        <w:tc>
          <w:tcPr>
            <w:tcW w:w="4457"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523" w:type="dxa"/>
            <w:gridSpan w:val="5"/>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gridBefore w:val="1"/>
          <w:gridAfter w:val="7"/>
          <w:wBefore w:w="3" w:type="dxa"/>
          <w:wAfter w:w="4361" w:type="dxa"/>
          <w:trHeight w:val="327"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117.72</w:t>
            </w: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86.03</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23.00</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3.36</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5.34</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117.72</w:t>
            </w: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62" w:type="dxa"/>
            <w:gridSpan w:val="3"/>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5"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610"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670" w:type="dxa"/>
            <w:gridSpan w:val="2"/>
            <w:tcBorders>
              <w:top w:val="nil"/>
              <w:left w:val="nil"/>
              <w:bottom w:val="single" w:color="000000" w:sz="4" w:space="0"/>
              <w:right w:val="single" w:color="000000" w:sz="8" w:space="0"/>
            </w:tcBorders>
            <w:noWrap w:val="0"/>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7"/>
          <w:wBefore w:w="3" w:type="dxa"/>
          <w:wAfter w:w="4361" w:type="dxa"/>
          <w:trHeight w:val="215" w:hRule="atLeast"/>
        </w:trPr>
        <w:tc>
          <w:tcPr>
            <w:tcW w:w="2790" w:type="dxa"/>
            <w:tcBorders>
              <w:top w:val="nil"/>
              <w:left w:val="single" w:color="000000" w:sz="4" w:space="0"/>
              <w:bottom w:val="single" w:color="000000" w:sz="8"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62" w:type="dxa"/>
            <w:gridSpan w:val="3"/>
            <w:tcBorders>
              <w:top w:val="nil"/>
              <w:left w:val="nil"/>
              <w:bottom w:val="single" w:color="000000" w:sz="8"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05" w:type="dxa"/>
            <w:gridSpan w:val="2"/>
            <w:tcBorders>
              <w:top w:val="nil"/>
              <w:left w:val="nil"/>
              <w:bottom w:val="single" w:color="000000" w:sz="8" w:space="0"/>
              <w:right w:val="single" w:color="000000" w:sz="4" w:space="0"/>
            </w:tcBorders>
            <w:noWrap w:val="0"/>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3243" w:type="dxa"/>
            <w:tcBorders>
              <w:top w:val="nil"/>
              <w:left w:val="nil"/>
              <w:bottom w:val="single" w:color="000000" w:sz="8"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10" w:type="dxa"/>
            <w:gridSpan w:val="2"/>
            <w:tcBorders>
              <w:top w:val="nil"/>
              <w:left w:val="nil"/>
              <w:bottom w:val="single" w:color="000000" w:sz="8"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7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117.72</w:t>
            </w:r>
          </w:p>
        </w:tc>
      </w:tr>
      <w:tr>
        <w:tblPrEx>
          <w:tblCellMar>
            <w:top w:w="0" w:type="dxa"/>
            <w:left w:w="0" w:type="dxa"/>
            <w:bottom w:w="0" w:type="dxa"/>
            <w:right w:w="0" w:type="dxa"/>
          </w:tblCellMar>
        </w:tblPrEx>
        <w:trPr>
          <w:gridBefore w:val="1"/>
          <w:gridAfter w:val="7"/>
          <w:wBefore w:w="3" w:type="dxa"/>
          <w:wAfter w:w="4361" w:type="dxa"/>
          <w:trHeight w:val="427" w:hRule="atLeast"/>
        </w:trPr>
        <w:tc>
          <w:tcPr>
            <w:tcW w:w="8980" w:type="dxa"/>
            <w:gridSpan w:val="11"/>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注：本表反映单位本年度的总收支和年末结转结余情况；本套报表金额单位转换成万元时，因四舍五入可能存在尾数误差。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375" w:type="dxa"/>
            <w:gridSpan w:val="19"/>
            <w:tcBorders>
              <w:top w:val="nil"/>
              <w:left w:val="nil"/>
              <w:bottom w:val="nil"/>
              <w:right w:val="nil"/>
            </w:tcBorders>
            <w:shd w:val="clear" w:color="auto" w:fill="auto"/>
            <w:noWrap/>
            <w:vAlign w:val="bottom"/>
          </w:tcPr>
          <w:p>
            <w:pPr>
              <w:ind w:firstLine="640" w:firstLineChars="200"/>
              <w:jc w:val="center"/>
              <w:rPr>
                <w:rFonts w:hint="eastAsia" w:ascii="宋体" w:hAnsi="宋体" w:eastAsia="宋体" w:cs="宋体"/>
                <w:i w:val="0"/>
                <w:iCs w:val="0"/>
                <w:color w:val="000000"/>
                <w:sz w:val="30"/>
                <w:szCs w:val="30"/>
                <w:u w:val="none"/>
              </w:rPr>
            </w:pPr>
            <w:r>
              <w:rPr>
                <w:rFonts w:hint="eastAsia" w:ascii="黑体" w:hAnsi="黑体" w:eastAsia="黑体"/>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gridSpan w:val="3"/>
            <w:vMerge w:val="restart"/>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5"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25"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635" w:type="dxa"/>
            <w:gridSpan w:val="2"/>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gridSpan w:val="3"/>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2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其中：教育收费</w:t>
            </w: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gridSpan w:val="3"/>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gridSpan w:val="3"/>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gridSpan w:val="2"/>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5" w:type="dxa"/>
            <w:gridSpan w:val="2"/>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gridSpan w:val="2"/>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117.72</w:t>
            </w:r>
          </w:p>
        </w:tc>
        <w:tc>
          <w:tcPr>
            <w:tcW w:w="0" w:type="auto"/>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117.72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w:t>
            </w:r>
          </w:p>
        </w:tc>
      </w:tr>
    </w:tbl>
    <w:p>
      <w:pPr>
        <w:ind w:firstLine="640" w:firstLineChars="200"/>
        <w:rPr>
          <w:rFonts w:hint="eastAsia" w:ascii="黑体" w:hAnsi="黑体" w:eastAsia="黑体"/>
          <w:szCs w:val="32"/>
        </w:rPr>
      </w:pPr>
    </w:p>
    <w:tbl>
      <w:tblPr>
        <w:tblStyle w:val="5"/>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436"/>
        <w:gridCol w:w="436"/>
        <w:gridCol w:w="3956"/>
        <w:gridCol w:w="882"/>
        <w:gridCol w:w="771"/>
        <w:gridCol w:w="771"/>
        <w:gridCol w:w="436"/>
        <w:gridCol w:w="43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660" w:type="dxa"/>
            <w:gridSpan w:val="10"/>
            <w:tcBorders>
              <w:top w:val="nil"/>
              <w:left w:val="nil"/>
              <w:bottom w:val="nil"/>
              <w:right w:val="nil"/>
            </w:tcBorders>
            <w:shd w:val="clear" w:color="auto" w:fill="auto"/>
            <w:noWrap/>
            <w:vAlign w:val="bottom"/>
          </w:tcPr>
          <w:p>
            <w:pPr>
              <w:ind w:firstLine="640" w:firstLineChars="200"/>
              <w:jc w:val="center"/>
              <w:rPr>
                <w:rFonts w:hint="eastAsia" w:ascii="宋体" w:hAnsi="宋体" w:eastAsia="宋体" w:cs="宋体"/>
                <w:i w:val="0"/>
                <w:iCs w:val="0"/>
                <w:color w:val="000000"/>
                <w:sz w:val="30"/>
                <w:szCs w:val="30"/>
                <w:u w:val="none"/>
              </w:rPr>
            </w:pPr>
            <w:r>
              <w:rPr>
                <w:rFonts w:hint="eastAsia" w:ascii="黑体" w:hAnsi="黑体" w:eastAsia="黑体"/>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6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6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6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9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09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6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117.72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86.49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注：本表反映单位本年度各项支出情况。</w:t>
            </w:r>
          </w:p>
        </w:tc>
      </w:tr>
    </w:tbl>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tbl>
      <w:tblPr>
        <w:tblStyle w:val="5"/>
        <w:tblW w:w="12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00"/>
        <w:gridCol w:w="523"/>
        <w:gridCol w:w="975"/>
        <w:gridCol w:w="2671"/>
        <w:gridCol w:w="1368"/>
        <w:gridCol w:w="876"/>
        <w:gridCol w:w="1043"/>
        <w:gridCol w:w="1013"/>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660" w:type="dxa"/>
            <w:gridSpan w:val="9"/>
            <w:tcBorders>
              <w:top w:val="nil"/>
              <w:left w:val="nil"/>
              <w:bottom w:val="nil"/>
              <w:right w:val="nil"/>
            </w:tcBorders>
            <w:shd w:val="clear" w:color="auto" w:fill="FFFFFF"/>
            <w:noWrap/>
            <w:vAlign w:val="bottom"/>
          </w:tcPr>
          <w:p>
            <w:pPr>
              <w:ind w:firstLine="640" w:firstLineChars="200"/>
              <w:jc w:val="center"/>
              <w:rPr>
                <w:rFonts w:hint="eastAsia" w:ascii="宋体" w:hAnsi="宋体" w:eastAsia="宋体" w:cs="宋体"/>
                <w:i w:val="0"/>
                <w:iCs w:val="0"/>
                <w:color w:val="000000"/>
                <w:sz w:val="30"/>
                <w:szCs w:val="30"/>
                <w:u w:val="none"/>
              </w:rPr>
            </w:pPr>
            <w:r>
              <w:rPr>
                <w:rFonts w:hint="eastAsia" w:ascii="黑体" w:hAnsi="黑体" w:eastAsia="黑体"/>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00"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52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7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4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91"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00"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52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7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4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91"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98"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862" w:type="dxa"/>
            <w:gridSpan w:val="6"/>
            <w:tcBorders>
              <w:top w:val="single" w:color="000000" w:sz="4" w:space="0"/>
              <w:left w:val="nil"/>
              <w:bottom w:val="single" w:color="000000" w:sz="4" w:space="0"/>
              <w:right w:val="single" w:color="000000" w:sz="8"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0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67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6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4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1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91" w:type="dxa"/>
            <w:vMerge w:val="restart"/>
            <w:tcBorders>
              <w:top w:val="nil"/>
              <w:left w:val="nil"/>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8" w:hRule="atLeast"/>
        </w:trPr>
        <w:tc>
          <w:tcPr>
            <w:tcW w:w="330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67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91" w:type="dxa"/>
            <w:vMerge w:val="continue"/>
            <w:tcBorders>
              <w:top w:val="nil"/>
              <w:left w:val="nil"/>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3"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8"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1" w:type="dxa"/>
            <w:tcBorders>
              <w:top w:val="nil"/>
              <w:left w:val="nil"/>
              <w:bottom w:val="single" w:color="000000" w:sz="4" w:space="0"/>
              <w:right w:val="single" w:color="000000" w:sz="8"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10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10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0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0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10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36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4"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0" w:type="dxa"/>
            <w:tcBorders>
              <w:top w:val="nil"/>
              <w:left w:val="single" w:color="000000" w:sz="4" w:space="0"/>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23"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75"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2671"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368"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76"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1043" w:type="dxa"/>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117.72</w:t>
            </w:r>
          </w:p>
        </w:tc>
        <w:tc>
          <w:tcPr>
            <w:tcW w:w="1013" w:type="dxa"/>
            <w:tcBorders>
              <w:top w:val="nil"/>
              <w:left w:val="nil"/>
              <w:bottom w:val="single" w:color="000000" w:sz="8"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91" w:type="dxa"/>
            <w:tcBorders>
              <w:top w:val="nil"/>
              <w:left w:val="nil"/>
              <w:bottom w:val="single" w:color="000000" w:sz="8" w:space="0"/>
              <w:right w:val="single" w:color="000000" w:sz="8"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266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w:t>
            </w:r>
          </w:p>
        </w:tc>
      </w:tr>
    </w:tbl>
    <w:p>
      <w:pPr>
        <w:ind w:firstLine="640" w:firstLineChars="200"/>
        <w:jc w:val="center"/>
        <w:rPr>
          <w:rFonts w:hint="eastAsia" w:ascii="黑体" w:hAnsi="黑体" w:eastAsia="黑体"/>
          <w:szCs w:val="32"/>
        </w:rPr>
      </w:pPr>
    </w:p>
    <w:tbl>
      <w:tblPr>
        <w:tblStyle w:val="5"/>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436"/>
        <w:gridCol w:w="436"/>
        <w:gridCol w:w="3956"/>
        <w:gridCol w:w="882"/>
        <w:gridCol w:w="771"/>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180" w:type="dxa"/>
            <w:gridSpan w:val="7"/>
            <w:tcBorders>
              <w:top w:val="nil"/>
              <w:left w:val="nil"/>
              <w:bottom w:val="nil"/>
              <w:right w:val="nil"/>
            </w:tcBorders>
            <w:shd w:val="clear" w:color="auto" w:fill="auto"/>
            <w:noWrap/>
            <w:vAlign w:val="bottom"/>
          </w:tcPr>
          <w:p>
            <w:pPr>
              <w:ind w:firstLine="640" w:firstLineChars="200"/>
              <w:jc w:val="center"/>
              <w:rPr>
                <w:rFonts w:hint="eastAsia" w:ascii="宋体" w:hAnsi="宋体" w:eastAsia="宋体" w:cs="宋体"/>
                <w:i w:val="0"/>
                <w:iCs w:val="0"/>
                <w:color w:val="000000"/>
                <w:sz w:val="30"/>
                <w:szCs w:val="30"/>
                <w:u w:val="none"/>
              </w:rPr>
            </w:pPr>
            <w:r>
              <w:rPr>
                <w:rFonts w:hint="eastAsia" w:ascii="黑体" w:hAnsi="黑体" w:eastAsia="黑体"/>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1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117.72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86.49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w:t>
            </w:r>
          </w:p>
        </w:tc>
      </w:tr>
    </w:tbl>
    <w:p>
      <w:pPr>
        <w:jc w:val="both"/>
        <w:rPr>
          <w:rFonts w:hint="eastAsia" w:ascii="黑体" w:hAnsi="黑体" w:eastAsia="黑体"/>
          <w:szCs w:val="32"/>
        </w:rPr>
      </w:pPr>
    </w:p>
    <w:p>
      <w:pPr>
        <w:jc w:val="both"/>
        <w:rPr>
          <w:rFonts w:hint="eastAsia" w:ascii="黑体" w:hAnsi="黑体" w:eastAsia="黑体"/>
          <w:szCs w:val="32"/>
        </w:rPr>
      </w:pPr>
    </w:p>
    <w:p>
      <w:pPr>
        <w:jc w:val="both"/>
        <w:rPr>
          <w:rFonts w:hint="eastAsia" w:ascii="黑体" w:hAnsi="黑体" w:eastAsia="黑体"/>
          <w:szCs w:val="32"/>
        </w:r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95"/>
        <w:gridCol w:w="2164"/>
        <w:gridCol w:w="1097"/>
        <w:gridCol w:w="645"/>
        <w:gridCol w:w="1929"/>
        <w:gridCol w:w="559"/>
        <w:gridCol w:w="645"/>
        <w:gridCol w:w="3558"/>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ind w:firstLine="1280" w:firstLineChars="400"/>
              <w:jc w:val="center"/>
              <w:rPr>
                <w:rFonts w:hint="eastAsia" w:ascii="宋体" w:hAnsi="宋体" w:eastAsia="宋体" w:cs="宋体"/>
                <w:i w:val="0"/>
                <w:iCs w:val="0"/>
                <w:color w:val="000000"/>
                <w:sz w:val="30"/>
                <w:szCs w:val="30"/>
                <w:u w:val="none"/>
              </w:rPr>
            </w:pPr>
            <w:r>
              <w:rPr>
                <w:rFonts w:hint="eastAsia" w:ascii="黑体" w:hAnsi="黑体" w:eastAsia="黑体"/>
                <w:szCs w:val="32"/>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9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95"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225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3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6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00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6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70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5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325"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2367"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25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63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90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5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63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351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2367"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5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3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0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5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3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79.31</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26.98</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57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25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0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31299 </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00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2"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7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70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9"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79.31</w:t>
            </w:r>
          </w:p>
        </w:tc>
        <w:tc>
          <w:tcPr>
            <w:tcW w:w="7618"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注：本表反映单位本年度一般公共预算财政拨款基本支出明细情况。</w:t>
            </w:r>
          </w:p>
        </w:tc>
      </w:tr>
    </w:tbl>
    <w:p>
      <w:pPr>
        <w:jc w:val="both"/>
        <w:rPr>
          <w:rFonts w:hint="eastAsia" w:ascii="黑体" w:hAnsi="黑体" w:eastAsia="黑体"/>
          <w:szCs w:val="32"/>
        </w:rPr>
      </w:pPr>
    </w:p>
    <w:p>
      <w:pPr>
        <w:jc w:val="both"/>
        <w:rPr>
          <w:rFonts w:hint="eastAsia" w:ascii="黑体" w:hAnsi="黑体" w:eastAsia="黑体"/>
          <w:szCs w:val="32"/>
        </w:rPr>
      </w:pPr>
    </w:p>
    <w:p>
      <w:pPr>
        <w:jc w:val="right"/>
        <w:rPr>
          <w:rFonts w:hint="eastAsia" w:ascii="黑体" w:hAnsi="黑体" w:eastAsia="黑体"/>
          <w:sz w:val="20"/>
        </w:rPr>
      </w:pPr>
      <w:r>
        <w:rPr>
          <w:rFonts w:hint="eastAsia" w:ascii="黑体" w:hAnsi="黑体" w:eastAsia="黑体"/>
          <w:sz w:val="20"/>
        </w:rPr>
        <w:t xml:space="preserve">                                                                          </w:t>
      </w:r>
      <w:r>
        <w:rPr>
          <w:rFonts w:hint="eastAsia" w:ascii="宋体" w:hAnsi="宋体" w:eastAsia="宋体" w:cs="宋体"/>
          <w:color w:val="000000"/>
          <w:kern w:val="0"/>
          <w:sz w:val="20"/>
        </w:rPr>
        <w:t>公开07表</w:t>
      </w:r>
    </w:p>
    <w:tbl>
      <w:tblPr>
        <w:tblStyle w:val="5"/>
        <w:tblW w:w="14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436"/>
        <w:gridCol w:w="436"/>
        <w:gridCol w:w="713"/>
        <w:gridCol w:w="713"/>
        <w:gridCol w:w="713"/>
        <w:gridCol w:w="713"/>
        <w:gridCol w:w="713"/>
        <w:gridCol w:w="713"/>
        <w:gridCol w:w="713"/>
        <w:gridCol w:w="713"/>
        <w:gridCol w:w="713"/>
        <w:gridCol w:w="713"/>
        <w:gridCol w:w="713"/>
        <w:gridCol w:w="713"/>
        <w:gridCol w:w="713"/>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9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黑体" w:hAnsi="黑体" w:eastAsia="黑体"/>
                <w:szCs w:val="32"/>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6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94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3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83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83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3780" w:type="dxa"/>
            <w:gridSpan w:val="4"/>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6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890" w:type="dxa"/>
            <w:gridSpan w:val="2"/>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6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94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26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2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2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94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说明：蚌埠市党员电化教育中心没有政府性基金收入，也没有使用政府性基金安排的支出，故本表无数据。</w:t>
            </w:r>
          </w:p>
        </w:tc>
      </w:tr>
    </w:tbl>
    <w:p>
      <w:pPr>
        <w:jc w:val="center"/>
        <w:rPr>
          <w:rFonts w:hint="eastAsia" w:ascii="黑体" w:hAnsi="黑体" w:eastAsia="黑体"/>
          <w:szCs w:val="32"/>
        </w:rPr>
      </w:pPr>
    </w:p>
    <w:tbl>
      <w:tblPr>
        <w:tblStyle w:val="5"/>
        <w:tblW w:w="13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98"/>
        <w:gridCol w:w="708"/>
        <w:gridCol w:w="708"/>
        <w:gridCol w:w="1780"/>
        <w:gridCol w:w="1065"/>
        <w:gridCol w:w="1780"/>
        <w:gridCol w:w="2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110" w:type="dxa"/>
            <w:gridSpan w:val="7"/>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30"/>
                <w:szCs w:val="30"/>
                <w:u w:val="none"/>
              </w:rPr>
            </w:pPr>
            <w:r>
              <w:rPr>
                <w:rFonts w:hint="eastAsia" w:ascii="黑体" w:hAnsi="黑体" w:eastAsia="黑体"/>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单位：蚌埠市党员电化教育中心</w:t>
            </w: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说明：蚌埠市党员电化教育中心没有国有资本经营预算财政拨款安排的支出，故本表无数据。</w:t>
            </w:r>
          </w:p>
        </w:tc>
      </w:tr>
    </w:tbl>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b w:val="0"/>
          <w:bCs w:val="0"/>
          <w:color w:val="FF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b w:val="0"/>
          <w:bCs w:val="0"/>
          <w:color w:val="FF0000"/>
          <w:sz w:val="32"/>
          <w:szCs w:val="32"/>
          <w:highlight w:val="none"/>
          <w:lang w:val="en-US" w:eastAsia="zh-CN"/>
        </w:rPr>
      </w:pPr>
    </w:p>
    <w:p>
      <w:pPr>
        <w:ind w:firstLine="640" w:firstLineChars="200"/>
        <w:jc w:val="center"/>
        <w:rPr>
          <w:rFonts w:hint="eastAsia" w:ascii="黑体" w:hAnsi="黑体" w:eastAsia="黑体"/>
          <w:szCs w:val="32"/>
        </w:rPr>
      </w:pPr>
      <w:r>
        <w:rPr>
          <w:rFonts w:hint="eastAsia" w:ascii="黑体" w:hAnsi="黑体" w:eastAsia="黑体"/>
          <w:szCs w:val="32"/>
        </w:rPr>
        <w:t xml:space="preserve">第三部分 </w:t>
      </w:r>
      <w:r>
        <w:rPr>
          <w:rFonts w:hint="eastAsia" w:ascii="黑体" w:hAnsi="黑体" w:eastAsia="黑体"/>
          <w:szCs w:val="32"/>
          <w:lang w:eastAsia="zh-CN"/>
        </w:rPr>
        <w:t>2021</w:t>
      </w:r>
      <w:r>
        <w:rPr>
          <w:rFonts w:hint="eastAsia" w:ascii="黑体" w:hAnsi="黑体" w:eastAsia="黑体"/>
          <w:szCs w:val="32"/>
        </w:rPr>
        <w:t>年度</w:t>
      </w:r>
      <w:r>
        <w:rPr>
          <w:rFonts w:hint="eastAsia" w:ascii="黑体" w:hAnsi="黑体" w:eastAsia="黑体"/>
          <w:szCs w:val="32"/>
          <w:lang w:eastAsia="zh-CN"/>
        </w:rPr>
        <w:t>单位决算</w:t>
      </w:r>
      <w:r>
        <w:rPr>
          <w:rFonts w:hint="eastAsia" w:ascii="黑体" w:hAnsi="黑体" w:eastAsia="黑体"/>
          <w:szCs w:val="32"/>
        </w:rPr>
        <w:t>情况说明</w:t>
      </w:r>
    </w:p>
    <w:p>
      <w:pPr>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年度收入总计</w:t>
      </w:r>
      <w:r>
        <w:rPr>
          <w:rFonts w:hint="eastAsia" w:ascii="仿宋_GB2312" w:hAnsi="仿宋"/>
          <w:szCs w:val="32"/>
          <w:lang w:val="en-US" w:eastAsia="zh-CN"/>
        </w:rPr>
        <w:t>117.72</w:t>
      </w:r>
      <w:r>
        <w:rPr>
          <w:rFonts w:hint="eastAsia" w:ascii="仿宋_GB2312" w:hAnsi="仿宋"/>
          <w:szCs w:val="32"/>
        </w:rPr>
        <w:t>万元（含使用非财政拨</w:t>
      </w:r>
      <w:r>
        <w:rPr>
          <w:rFonts w:hint="eastAsia" w:ascii="仿宋_GB2312" w:hAnsi="仿宋"/>
          <w:color w:val="auto"/>
          <w:szCs w:val="32"/>
        </w:rPr>
        <w:t>款结转结余</w:t>
      </w:r>
      <w:r>
        <w:rPr>
          <w:rFonts w:hint="eastAsia" w:ascii="仿宋_GB2312" w:hAnsi="仿宋"/>
          <w:color w:val="auto"/>
          <w:szCs w:val="32"/>
          <w:lang w:eastAsia="zh-CN"/>
        </w:rPr>
        <w:t>、</w:t>
      </w:r>
      <w:r>
        <w:rPr>
          <w:rFonts w:hint="eastAsia" w:ascii="仿宋_GB2312" w:hAnsi="仿宋"/>
          <w:color w:val="auto"/>
          <w:szCs w:val="32"/>
        </w:rPr>
        <w:t>年初结转</w:t>
      </w:r>
      <w:r>
        <w:rPr>
          <w:rFonts w:hint="eastAsia" w:ascii="仿宋_GB2312" w:hAnsi="仿宋"/>
          <w:color w:val="auto"/>
          <w:szCs w:val="32"/>
          <w:lang w:eastAsia="zh-CN"/>
        </w:rPr>
        <w:t>和</w:t>
      </w:r>
      <w:r>
        <w:rPr>
          <w:rFonts w:hint="eastAsia" w:ascii="仿宋_GB2312" w:hAnsi="仿宋"/>
          <w:color w:val="auto"/>
          <w:szCs w:val="32"/>
        </w:rPr>
        <w:t>结余）、支出总计</w:t>
      </w:r>
      <w:r>
        <w:rPr>
          <w:rFonts w:hint="eastAsia" w:ascii="仿宋_GB2312" w:hAnsi="仿宋"/>
          <w:color w:val="auto"/>
          <w:szCs w:val="32"/>
          <w:lang w:val="en-US" w:eastAsia="zh-CN"/>
        </w:rPr>
        <w:t>117.72</w:t>
      </w:r>
      <w:r>
        <w:rPr>
          <w:rFonts w:hint="eastAsia" w:ascii="仿宋_GB2312" w:hAnsi="仿宋"/>
          <w:color w:val="auto"/>
          <w:szCs w:val="32"/>
        </w:rPr>
        <w:t>万元（含结余分配</w:t>
      </w:r>
      <w:r>
        <w:rPr>
          <w:rFonts w:hint="eastAsia" w:ascii="仿宋_GB2312" w:hAnsi="仿宋"/>
          <w:color w:val="auto"/>
          <w:szCs w:val="32"/>
          <w:lang w:eastAsia="zh-CN"/>
        </w:rPr>
        <w:t>、</w:t>
      </w:r>
      <w:r>
        <w:rPr>
          <w:rFonts w:hint="eastAsia" w:ascii="仿宋_GB2312" w:hAnsi="仿宋"/>
          <w:color w:val="auto"/>
          <w:szCs w:val="32"/>
        </w:rPr>
        <w:t>年末结转</w:t>
      </w:r>
      <w:r>
        <w:rPr>
          <w:rFonts w:hint="eastAsia" w:ascii="仿宋_GB2312" w:hAnsi="仿宋"/>
          <w:color w:val="auto"/>
          <w:szCs w:val="32"/>
          <w:lang w:eastAsia="zh-CN"/>
        </w:rPr>
        <w:t>和</w:t>
      </w:r>
      <w:r>
        <w:rPr>
          <w:rFonts w:hint="eastAsia" w:ascii="仿宋_GB2312" w:hAnsi="仿宋"/>
          <w:szCs w:val="32"/>
        </w:rPr>
        <w:t>结余）。与</w:t>
      </w:r>
      <w:r>
        <w:rPr>
          <w:rFonts w:hint="eastAsia" w:ascii="仿宋_GB2312" w:hAnsi="仿宋"/>
          <w:szCs w:val="32"/>
          <w:lang w:eastAsia="zh-CN"/>
        </w:rPr>
        <w:t>2020</w:t>
      </w:r>
      <w:r>
        <w:rPr>
          <w:rFonts w:hint="eastAsia" w:ascii="仿宋_GB2312" w:hAnsi="仿宋"/>
          <w:szCs w:val="32"/>
        </w:rPr>
        <w:t>年相比，收、支总计各增加</w:t>
      </w:r>
      <w:r>
        <w:rPr>
          <w:rFonts w:hint="eastAsia" w:ascii="仿宋_GB2312" w:hAnsi="仿宋"/>
          <w:szCs w:val="32"/>
          <w:lang w:val="en-US" w:eastAsia="zh-CN"/>
        </w:rPr>
        <w:t>39.75</w:t>
      </w:r>
      <w:r>
        <w:rPr>
          <w:rFonts w:hint="eastAsia" w:ascii="仿宋_GB2312" w:hAnsi="仿宋"/>
          <w:szCs w:val="32"/>
        </w:rPr>
        <w:t>万元，增长</w:t>
      </w:r>
      <w:r>
        <w:rPr>
          <w:rFonts w:hint="eastAsia" w:ascii="仿宋_GB2312" w:hAnsi="仿宋"/>
          <w:szCs w:val="32"/>
          <w:lang w:val="en-US" w:eastAsia="zh-CN"/>
        </w:rPr>
        <w:t>150.9</w:t>
      </w:r>
      <w:r>
        <w:rPr>
          <w:rFonts w:hint="eastAsia" w:ascii="仿宋_GB2312" w:hAnsi="仿宋"/>
          <w:szCs w:val="32"/>
        </w:rPr>
        <w:t>%，主要原因：一是</w:t>
      </w:r>
      <w:r>
        <w:rPr>
          <w:rFonts w:hint="eastAsia" w:ascii="仿宋_GB2312" w:hAnsi="仿宋"/>
          <w:szCs w:val="32"/>
          <w:lang w:val="en-US" w:eastAsia="zh-CN"/>
        </w:rPr>
        <w:t>2020年受疫情影响支出减少</w:t>
      </w:r>
      <w:r>
        <w:rPr>
          <w:rFonts w:hint="eastAsia" w:ascii="仿宋_GB2312" w:hAnsi="仿宋"/>
          <w:szCs w:val="32"/>
        </w:rPr>
        <w:t>；二是</w:t>
      </w:r>
      <w:r>
        <w:rPr>
          <w:rFonts w:hint="eastAsia" w:ascii="仿宋_GB2312" w:hAnsi="仿宋"/>
          <w:szCs w:val="32"/>
          <w:lang w:val="en-US" w:eastAsia="zh-CN"/>
        </w:rPr>
        <w:t>2021年人员经费有所增加</w:t>
      </w:r>
      <w:r>
        <w:rPr>
          <w:rFonts w:hint="eastAsia" w:ascii="仿宋_GB2312" w:hAnsi="仿宋"/>
          <w:szCs w:val="32"/>
        </w:rPr>
        <w:t>。</w:t>
      </w:r>
    </w:p>
    <w:p>
      <w:pPr>
        <w:ind w:firstLine="640" w:firstLineChars="200"/>
        <w:rPr>
          <w:rFonts w:hint="eastAsia" w:ascii="仿宋_GB2312" w:hAnsi="仿宋"/>
          <w:szCs w:val="32"/>
        </w:rPr>
      </w:pP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年度收入合计</w:t>
      </w:r>
      <w:r>
        <w:rPr>
          <w:rFonts w:hint="eastAsia" w:ascii="仿宋_GB2312" w:hAnsi="仿宋"/>
          <w:szCs w:val="32"/>
          <w:lang w:val="en-US" w:eastAsia="zh-CN"/>
        </w:rPr>
        <w:t>117.72</w:t>
      </w:r>
      <w:r>
        <w:rPr>
          <w:rFonts w:hint="eastAsia" w:ascii="仿宋_GB2312" w:hAnsi="仿宋"/>
          <w:szCs w:val="32"/>
        </w:rPr>
        <w:t>万元，其中：财政拨款收入</w:t>
      </w:r>
      <w:r>
        <w:rPr>
          <w:rFonts w:hint="eastAsia" w:ascii="仿宋_GB2312" w:hAnsi="仿宋"/>
          <w:szCs w:val="32"/>
          <w:lang w:val="en-US" w:eastAsia="zh-CN"/>
        </w:rPr>
        <w:t>117.72</w:t>
      </w:r>
      <w:r>
        <w:rPr>
          <w:rFonts w:hint="eastAsia" w:ascii="仿宋_GB2312" w:hAnsi="仿宋"/>
          <w:szCs w:val="32"/>
        </w:rPr>
        <w:t>万元，占</w:t>
      </w:r>
      <w:r>
        <w:rPr>
          <w:rFonts w:hint="eastAsia" w:ascii="仿宋_GB2312" w:hAnsi="仿宋"/>
          <w:szCs w:val="32"/>
          <w:lang w:val="en-US" w:eastAsia="zh-CN"/>
        </w:rPr>
        <w:t>100.0</w:t>
      </w:r>
      <w:r>
        <w:rPr>
          <w:rFonts w:hint="eastAsia" w:ascii="仿宋_GB2312" w:hAnsi="仿宋"/>
          <w:szCs w:val="32"/>
        </w:rPr>
        <w:t>%；事业收入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0.0</w:t>
      </w:r>
      <w:r>
        <w:rPr>
          <w:rFonts w:hint="eastAsia" w:ascii="仿宋_GB2312" w:hAnsi="仿宋"/>
          <w:szCs w:val="32"/>
        </w:rPr>
        <w:t>%；经营收入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0.0</w:t>
      </w:r>
      <w:r>
        <w:rPr>
          <w:rFonts w:hint="eastAsia" w:ascii="仿宋_GB2312" w:hAnsi="仿宋"/>
          <w:szCs w:val="32"/>
        </w:rPr>
        <w:t>%；其他收入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0.0</w:t>
      </w:r>
      <w:r>
        <w:rPr>
          <w:rFonts w:hint="eastAsia" w:ascii="仿宋_GB2312" w:hAnsi="仿宋"/>
          <w:szCs w:val="32"/>
        </w:rPr>
        <w:t>%。</w:t>
      </w:r>
    </w:p>
    <w:p>
      <w:pPr>
        <w:ind w:firstLine="640" w:firstLineChars="200"/>
        <w:rPr>
          <w:rFonts w:hint="eastAsia" w:ascii="仿宋_GB2312" w:hAnsi="仿宋"/>
          <w:szCs w:val="32"/>
        </w:rPr>
      </w:pP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年度支出合计</w:t>
      </w:r>
      <w:r>
        <w:rPr>
          <w:rFonts w:hint="eastAsia" w:ascii="仿宋_GB2312" w:hAnsi="仿宋"/>
          <w:szCs w:val="32"/>
          <w:lang w:val="en-US" w:eastAsia="zh-CN"/>
        </w:rPr>
        <w:t>117.72</w:t>
      </w:r>
      <w:r>
        <w:rPr>
          <w:rFonts w:hint="eastAsia" w:ascii="仿宋_GB2312" w:hAnsi="仿宋"/>
          <w:szCs w:val="32"/>
        </w:rPr>
        <w:t>万元，其中：基本支出</w:t>
      </w:r>
      <w:r>
        <w:rPr>
          <w:rFonts w:hint="eastAsia" w:ascii="仿宋_GB2312" w:hAnsi="仿宋"/>
          <w:szCs w:val="32"/>
          <w:lang w:val="en-US" w:eastAsia="zh-CN"/>
        </w:rPr>
        <w:t>86.49</w:t>
      </w:r>
      <w:r>
        <w:rPr>
          <w:rFonts w:hint="eastAsia" w:ascii="仿宋_GB2312" w:hAnsi="仿宋"/>
          <w:szCs w:val="32"/>
        </w:rPr>
        <w:t>万元，占</w:t>
      </w:r>
      <w:r>
        <w:rPr>
          <w:rFonts w:hint="eastAsia" w:ascii="仿宋_GB2312" w:hAnsi="仿宋"/>
          <w:szCs w:val="32"/>
          <w:lang w:val="en-US" w:eastAsia="zh-CN"/>
        </w:rPr>
        <w:t>73.5</w:t>
      </w:r>
      <w:r>
        <w:rPr>
          <w:rFonts w:hint="eastAsia" w:ascii="仿宋_GB2312" w:hAnsi="仿宋"/>
          <w:szCs w:val="32"/>
        </w:rPr>
        <w:t>%；项目支出</w:t>
      </w:r>
      <w:r>
        <w:rPr>
          <w:rFonts w:hint="eastAsia" w:ascii="仿宋_GB2312" w:hAnsi="仿宋"/>
          <w:szCs w:val="32"/>
          <w:lang w:val="en-US" w:eastAsia="zh-CN"/>
        </w:rPr>
        <w:t>31.23</w:t>
      </w:r>
      <w:r>
        <w:rPr>
          <w:rFonts w:hint="eastAsia" w:ascii="仿宋_GB2312" w:hAnsi="仿宋"/>
          <w:szCs w:val="32"/>
        </w:rPr>
        <w:t>万元，占</w:t>
      </w:r>
      <w:r>
        <w:rPr>
          <w:rFonts w:hint="eastAsia" w:ascii="仿宋_GB2312" w:hAnsi="仿宋"/>
          <w:szCs w:val="32"/>
          <w:lang w:val="en-US" w:eastAsia="zh-CN"/>
        </w:rPr>
        <w:t>26.5</w:t>
      </w:r>
      <w:r>
        <w:rPr>
          <w:rFonts w:hint="eastAsia" w:ascii="仿宋_GB2312" w:hAnsi="仿宋"/>
          <w:szCs w:val="32"/>
        </w:rPr>
        <w:t>%；经营支出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0.0</w:t>
      </w:r>
      <w:r>
        <w:rPr>
          <w:rFonts w:hint="eastAsia" w:ascii="仿宋_GB2312" w:hAnsi="仿宋"/>
          <w:szCs w:val="32"/>
        </w:rPr>
        <w:t>%。</w:t>
      </w:r>
    </w:p>
    <w:p>
      <w:pPr>
        <w:ind w:firstLine="640" w:firstLineChars="200"/>
        <w:rPr>
          <w:rFonts w:hint="eastAsia" w:ascii="仿宋_GB2312" w:hAnsi="仿宋"/>
          <w:szCs w:val="32"/>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四、财政拨款收入支出决算总体情况说明</w:t>
      </w:r>
    </w:p>
    <w:p>
      <w:pPr>
        <w:ind w:firstLine="640" w:firstLineChars="200"/>
        <w:rPr>
          <w:rFonts w:hint="eastAsia" w:ascii="仿宋_GB2312" w:hAnsi="仿宋"/>
          <w:color w:val="000000"/>
          <w:szCs w:val="32"/>
        </w:rPr>
      </w:pPr>
      <w:r>
        <w:rPr>
          <w:rFonts w:hint="eastAsia" w:ascii="仿宋_GB2312" w:hAnsi="仿宋_GB2312" w:eastAsia="仿宋_GB2312" w:cs="仿宋_GB2312"/>
          <w:b w:val="0"/>
          <w:bCs/>
          <w:color w:val="auto"/>
          <w:sz w:val="32"/>
          <w:szCs w:val="32"/>
          <w:lang w:eastAsia="zh-CN"/>
        </w:rPr>
        <w:t>2021</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eastAsia="zh-CN"/>
        </w:rPr>
        <w:t>度</w:t>
      </w:r>
      <w:r>
        <w:rPr>
          <w:rFonts w:hint="eastAsia" w:ascii="仿宋_GB2312" w:hAnsi="仿宋_GB2312" w:eastAsia="仿宋_GB2312" w:cs="仿宋_GB2312"/>
          <w:b w:val="0"/>
          <w:bCs/>
          <w:color w:val="auto"/>
          <w:sz w:val="32"/>
          <w:szCs w:val="32"/>
        </w:rPr>
        <w:t>财政拨款收入</w:t>
      </w:r>
      <w:r>
        <w:rPr>
          <w:rFonts w:hint="eastAsia" w:ascii="仿宋_GB2312" w:hAnsi="仿宋"/>
          <w:szCs w:val="32"/>
        </w:rPr>
        <w:t>总计</w:t>
      </w:r>
      <w:r>
        <w:rPr>
          <w:rFonts w:hint="eastAsia" w:ascii="仿宋_GB2312" w:hAnsi="仿宋"/>
          <w:szCs w:val="32"/>
          <w:lang w:val="en-US" w:eastAsia="zh-CN"/>
        </w:rPr>
        <w:t>117.72</w:t>
      </w:r>
      <w:r>
        <w:rPr>
          <w:rFonts w:hint="eastAsia" w:ascii="仿宋_GB2312" w:hAnsi="仿宋"/>
          <w:color w:val="auto"/>
          <w:szCs w:val="32"/>
        </w:rPr>
        <w:t>万元（含年初财政拨款结转</w:t>
      </w:r>
      <w:r>
        <w:rPr>
          <w:rFonts w:hint="eastAsia" w:ascii="仿宋_GB2312" w:hAnsi="仿宋"/>
          <w:color w:val="auto"/>
          <w:szCs w:val="32"/>
          <w:lang w:eastAsia="zh-CN"/>
        </w:rPr>
        <w:t>和</w:t>
      </w:r>
      <w:r>
        <w:rPr>
          <w:rFonts w:hint="eastAsia" w:ascii="仿宋_GB2312" w:hAnsi="仿宋"/>
          <w:color w:val="auto"/>
          <w:szCs w:val="32"/>
        </w:rPr>
        <w:t>结余），支出总计</w:t>
      </w:r>
      <w:r>
        <w:rPr>
          <w:rFonts w:hint="eastAsia" w:ascii="仿宋_GB2312" w:hAnsi="仿宋"/>
          <w:color w:val="auto"/>
          <w:szCs w:val="32"/>
          <w:lang w:val="en-US" w:eastAsia="zh-CN"/>
        </w:rPr>
        <w:t>117.72</w:t>
      </w:r>
      <w:r>
        <w:rPr>
          <w:rFonts w:hint="eastAsia" w:ascii="仿宋_GB2312" w:hAnsi="仿宋"/>
          <w:color w:val="auto"/>
          <w:szCs w:val="32"/>
        </w:rPr>
        <w:t>万元（含年末</w:t>
      </w:r>
      <w:r>
        <w:rPr>
          <w:rFonts w:hint="eastAsia" w:ascii="仿宋_GB2312" w:hAnsi="仿宋"/>
          <w:szCs w:val="32"/>
        </w:rPr>
        <w:t>财政拨款结转和结余）。与</w:t>
      </w:r>
      <w:r>
        <w:rPr>
          <w:rFonts w:hint="eastAsia" w:ascii="仿宋_GB2312" w:hAnsi="仿宋"/>
          <w:szCs w:val="32"/>
          <w:lang w:eastAsia="zh-CN"/>
        </w:rPr>
        <w:t>2020</w:t>
      </w:r>
      <w:r>
        <w:rPr>
          <w:rFonts w:hint="eastAsia" w:ascii="仿宋_GB2312" w:hAnsi="仿宋"/>
          <w:szCs w:val="32"/>
        </w:rPr>
        <w:t>年相比，财政拨款收、支总计各增加</w:t>
      </w:r>
      <w:r>
        <w:rPr>
          <w:rFonts w:hint="eastAsia" w:ascii="仿宋_GB2312" w:hAnsi="仿宋"/>
          <w:szCs w:val="32"/>
          <w:lang w:val="en-US" w:eastAsia="zh-CN"/>
        </w:rPr>
        <w:t>39.75</w:t>
      </w:r>
      <w:r>
        <w:rPr>
          <w:rFonts w:hint="eastAsia" w:ascii="仿宋_GB2312" w:hAnsi="仿宋"/>
          <w:szCs w:val="32"/>
        </w:rPr>
        <w:t>万元，增长</w:t>
      </w:r>
      <w:r>
        <w:rPr>
          <w:rFonts w:hint="eastAsia" w:ascii="仿宋_GB2312" w:hAnsi="仿宋"/>
          <w:szCs w:val="32"/>
          <w:lang w:val="en-US" w:eastAsia="zh-CN"/>
        </w:rPr>
        <w:t>150.9</w:t>
      </w:r>
      <w:r>
        <w:rPr>
          <w:rFonts w:hint="eastAsia" w:ascii="仿宋_GB2312" w:hAnsi="仿宋"/>
          <w:szCs w:val="32"/>
        </w:rPr>
        <w:t>%，主要原因：一是</w:t>
      </w:r>
      <w:r>
        <w:rPr>
          <w:rFonts w:hint="eastAsia" w:ascii="仿宋_GB2312" w:hAnsi="仿宋"/>
          <w:szCs w:val="32"/>
          <w:lang w:val="en-US" w:eastAsia="zh-CN"/>
        </w:rPr>
        <w:t>2020年受疫情影响支出减少</w:t>
      </w:r>
      <w:r>
        <w:rPr>
          <w:rFonts w:hint="eastAsia" w:ascii="仿宋_GB2312" w:hAnsi="仿宋"/>
          <w:szCs w:val="32"/>
        </w:rPr>
        <w:t>；二是</w:t>
      </w:r>
      <w:r>
        <w:rPr>
          <w:rFonts w:hint="eastAsia" w:ascii="仿宋_GB2312" w:hAnsi="仿宋"/>
          <w:szCs w:val="32"/>
          <w:lang w:val="en-US" w:eastAsia="zh-CN"/>
        </w:rPr>
        <w:t>2021年人员经费有所增加</w:t>
      </w:r>
      <w:r>
        <w:rPr>
          <w:rFonts w:hint="eastAsia" w:ascii="仿宋_GB2312" w:hAnsi="仿宋"/>
          <w:color w:val="000000"/>
          <w:szCs w:val="32"/>
        </w:rPr>
        <w:t>。</w:t>
      </w:r>
    </w:p>
    <w:p>
      <w:pPr>
        <w:ind w:firstLine="640" w:firstLineChars="200"/>
        <w:rPr>
          <w:rFonts w:hint="eastAsia" w:ascii="仿宋_GB2312" w:hAnsi="仿宋"/>
          <w:color w:val="000000"/>
          <w:szCs w:val="32"/>
        </w:rPr>
      </w:pPr>
    </w:p>
    <w:p>
      <w:pPr>
        <w:ind w:firstLine="640" w:firstLineChars="200"/>
        <w:rPr>
          <w:rFonts w:hint="eastAsia" w:ascii="黑体" w:hAnsi="仿宋" w:eastAsia="黑体"/>
          <w:szCs w:val="32"/>
        </w:rPr>
      </w:pPr>
      <w:r>
        <w:rPr>
          <w:rFonts w:hint="eastAsia" w:ascii="黑体" w:hAnsi="仿宋" w:eastAsia="黑体"/>
          <w:szCs w:val="32"/>
        </w:rPr>
        <w:t>五、一般公共预算财政拨款支出决算情况说明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（一）一般公共预算财政拨款支出决算总体情况。</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年度一般公共预算财政拨款支出</w:t>
      </w:r>
      <w:r>
        <w:rPr>
          <w:rFonts w:hint="eastAsia" w:ascii="仿宋_GB2312" w:hAnsi="仿宋"/>
          <w:szCs w:val="32"/>
          <w:lang w:val="en-US" w:eastAsia="zh-CN"/>
        </w:rPr>
        <w:t>117.72</w:t>
      </w:r>
      <w:r>
        <w:rPr>
          <w:rFonts w:hint="eastAsia" w:ascii="仿宋_GB2312" w:hAnsi="仿宋"/>
          <w:szCs w:val="32"/>
        </w:rPr>
        <w:t>万元，占本年支出的</w:t>
      </w:r>
      <w:r>
        <w:rPr>
          <w:rFonts w:hint="eastAsia" w:ascii="仿宋_GB2312" w:hAnsi="仿宋"/>
          <w:szCs w:val="32"/>
          <w:lang w:val="en-US" w:eastAsia="zh-CN"/>
        </w:rPr>
        <w:t>100.0</w:t>
      </w:r>
      <w:r>
        <w:rPr>
          <w:rFonts w:hint="eastAsia" w:ascii="仿宋_GB2312" w:hAnsi="仿宋"/>
          <w:szCs w:val="32"/>
        </w:rPr>
        <w:t>%。与</w:t>
      </w:r>
      <w:r>
        <w:rPr>
          <w:rFonts w:hint="eastAsia" w:ascii="仿宋_GB2312" w:hAnsi="仿宋"/>
          <w:szCs w:val="32"/>
          <w:lang w:eastAsia="zh-CN"/>
        </w:rPr>
        <w:t>2020</w:t>
      </w:r>
      <w:r>
        <w:rPr>
          <w:rFonts w:hint="eastAsia" w:ascii="仿宋_GB2312" w:hAnsi="仿宋"/>
          <w:szCs w:val="32"/>
        </w:rPr>
        <w:t>年相比，一般公共预算财政拨款支出增加</w:t>
      </w:r>
      <w:r>
        <w:rPr>
          <w:rFonts w:hint="eastAsia" w:ascii="仿宋_GB2312" w:hAnsi="仿宋"/>
          <w:szCs w:val="32"/>
          <w:lang w:val="en-US" w:eastAsia="zh-CN"/>
        </w:rPr>
        <w:t>39.75</w:t>
      </w:r>
      <w:r>
        <w:rPr>
          <w:rFonts w:hint="eastAsia" w:ascii="仿宋_GB2312" w:hAnsi="仿宋"/>
          <w:szCs w:val="32"/>
        </w:rPr>
        <w:t>万元，增长</w:t>
      </w:r>
      <w:r>
        <w:rPr>
          <w:rFonts w:hint="eastAsia" w:ascii="仿宋_GB2312" w:hAnsi="仿宋"/>
          <w:szCs w:val="32"/>
          <w:lang w:val="en-US" w:eastAsia="zh-CN"/>
        </w:rPr>
        <w:t>150.9</w:t>
      </w:r>
      <w:r>
        <w:rPr>
          <w:rFonts w:hint="eastAsia" w:ascii="仿宋_GB2312" w:hAnsi="仿宋"/>
          <w:szCs w:val="32"/>
        </w:rPr>
        <w:t>%。主要原因一是</w:t>
      </w:r>
      <w:r>
        <w:rPr>
          <w:rFonts w:hint="eastAsia" w:ascii="仿宋_GB2312" w:hAnsi="仿宋"/>
          <w:szCs w:val="32"/>
          <w:lang w:val="en-US" w:eastAsia="zh-CN"/>
        </w:rPr>
        <w:t>2020年受疫情影响支出减少</w:t>
      </w:r>
      <w:r>
        <w:rPr>
          <w:rFonts w:hint="eastAsia" w:ascii="仿宋_GB2312" w:hAnsi="仿宋"/>
          <w:szCs w:val="32"/>
        </w:rPr>
        <w:t>；二是</w:t>
      </w:r>
      <w:r>
        <w:rPr>
          <w:rFonts w:hint="eastAsia" w:ascii="仿宋_GB2312" w:hAnsi="仿宋"/>
          <w:szCs w:val="32"/>
          <w:lang w:val="en-US" w:eastAsia="zh-CN"/>
        </w:rPr>
        <w:t>2021年人员经费有所增加</w:t>
      </w:r>
      <w:r>
        <w:rPr>
          <w:rFonts w:hint="eastAsia" w:ascii="仿宋_GB2312" w:hAnsi="仿宋"/>
          <w:szCs w:val="32"/>
        </w:rPr>
        <w:t>。</w:t>
      </w:r>
    </w:p>
    <w:p>
      <w:pPr>
        <w:ind w:firstLine="640" w:firstLineChars="200"/>
        <w:rPr>
          <w:rFonts w:hint="eastAsia" w:ascii="仿宋_GB2312" w:hAnsi="仿宋"/>
          <w:szCs w:val="32"/>
        </w:rPr>
      </w:pPr>
    </w:p>
    <w:p>
      <w:pPr>
        <w:ind w:firstLine="643" w:firstLineChars="200"/>
        <w:rPr>
          <w:rFonts w:hint="eastAsia" w:ascii="仿宋_GB2312" w:hAnsi="仿宋"/>
          <w:b/>
          <w:szCs w:val="32"/>
        </w:rPr>
      </w:pPr>
      <w:r>
        <w:rPr>
          <w:rFonts w:hint="eastAsia" w:ascii="仿宋_GB2312" w:hAnsi="仿宋"/>
          <w:b/>
          <w:szCs w:val="32"/>
        </w:rPr>
        <w:t>（二）一般公共预算财政拨款支出决算结构情况。</w:t>
      </w:r>
    </w:p>
    <w:p>
      <w:pPr>
        <w:ind w:firstLine="640" w:firstLineChars="200"/>
        <w:rPr>
          <w:rFonts w:hint="eastAsia" w:ascii="楷体_GB2312" w:hAnsi="仿宋" w:eastAsia="楷体_GB2312"/>
          <w:szCs w:val="32"/>
        </w:rPr>
      </w:pPr>
      <w:r>
        <w:rPr>
          <w:rFonts w:hint="eastAsia" w:ascii="仿宋_GB2312" w:hAnsi="仿宋"/>
          <w:szCs w:val="32"/>
          <w:lang w:eastAsia="zh-CN"/>
        </w:rPr>
        <w:t>2021</w:t>
      </w:r>
      <w:r>
        <w:rPr>
          <w:rFonts w:hint="eastAsia" w:ascii="仿宋_GB2312" w:hAnsi="仿宋"/>
          <w:szCs w:val="32"/>
        </w:rPr>
        <w:t>年度一般公共预算财政拨款支出</w:t>
      </w:r>
      <w:r>
        <w:rPr>
          <w:rFonts w:hint="eastAsia" w:ascii="仿宋_GB2312" w:hAnsi="仿宋"/>
          <w:szCs w:val="32"/>
          <w:lang w:val="en-US" w:eastAsia="zh-CN"/>
        </w:rPr>
        <w:t>117.72</w:t>
      </w:r>
      <w:r>
        <w:rPr>
          <w:rFonts w:hint="eastAsia" w:ascii="仿宋_GB2312" w:hAnsi="仿宋"/>
          <w:szCs w:val="32"/>
        </w:rPr>
        <w:t>万元，主要用于以下方面：</w:t>
      </w:r>
      <w:r>
        <w:rPr>
          <w:rFonts w:hint="eastAsia" w:ascii="仿宋_GB2312" w:hAnsi="仿宋"/>
          <w:b/>
          <w:szCs w:val="32"/>
        </w:rPr>
        <w:t>教育（类）</w:t>
      </w:r>
      <w:r>
        <w:rPr>
          <w:rFonts w:hint="eastAsia" w:ascii="仿宋_GB2312" w:hAnsi="仿宋"/>
          <w:szCs w:val="32"/>
        </w:rPr>
        <w:t>支出</w:t>
      </w:r>
      <w:r>
        <w:rPr>
          <w:rFonts w:hint="eastAsia" w:ascii="仿宋_GB2312" w:hAnsi="仿宋"/>
          <w:szCs w:val="32"/>
          <w:lang w:val="en-US" w:eastAsia="zh-CN"/>
        </w:rPr>
        <w:t>86.03</w:t>
      </w:r>
      <w:r>
        <w:rPr>
          <w:rFonts w:hint="eastAsia" w:ascii="仿宋_GB2312" w:hAnsi="仿宋"/>
          <w:szCs w:val="32"/>
        </w:rPr>
        <w:t>万元，占</w:t>
      </w:r>
      <w:r>
        <w:rPr>
          <w:rFonts w:hint="eastAsia" w:ascii="仿宋_GB2312" w:hAnsi="仿宋"/>
          <w:szCs w:val="32"/>
          <w:lang w:val="en-US" w:eastAsia="zh-CN"/>
        </w:rPr>
        <w:t>73.1</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23</w:t>
      </w:r>
      <w:r>
        <w:rPr>
          <w:rFonts w:hint="eastAsia" w:ascii="仿宋_GB2312" w:hAnsi="仿宋"/>
          <w:szCs w:val="32"/>
        </w:rPr>
        <w:t>万元，占</w:t>
      </w:r>
      <w:r>
        <w:rPr>
          <w:rFonts w:hint="eastAsia" w:ascii="仿宋_GB2312" w:hAnsi="仿宋"/>
          <w:szCs w:val="32"/>
          <w:lang w:val="en-US" w:eastAsia="zh-CN"/>
        </w:rPr>
        <w:t>19.5</w:t>
      </w:r>
      <w:r>
        <w:rPr>
          <w:rFonts w:hint="eastAsia" w:ascii="仿宋_GB2312" w:hAnsi="仿宋"/>
          <w:szCs w:val="32"/>
        </w:rPr>
        <w:t>%；</w:t>
      </w:r>
      <w:r>
        <w:rPr>
          <w:rFonts w:hint="eastAsia" w:ascii="仿宋_GB2312" w:hAnsi="仿宋"/>
          <w:b/>
          <w:szCs w:val="32"/>
          <w:lang w:val="en-US" w:eastAsia="zh-CN"/>
        </w:rPr>
        <w:t>卫生健康（类）</w:t>
      </w:r>
      <w:r>
        <w:rPr>
          <w:rFonts w:hint="eastAsia" w:ascii="仿宋_GB2312" w:hAnsi="仿宋"/>
          <w:szCs w:val="32"/>
          <w:lang w:val="en-US" w:eastAsia="zh-CN"/>
        </w:rPr>
        <w:t>支出3.36万元，占2.9%；</w:t>
      </w:r>
      <w:r>
        <w:rPr>
          <w:rFonts w:hint="eastAsia" w:ascii="仿宋_GB2312" w:hAnsi="仿宋"/>
          <w:b/>
          <w:szCs w:val="32"/>
        </w:rPr>
        <w:t>住房保障（类）</w:t>
      </w:r>
      <w:r>
        <w:rPr>
          <w:rFonts w:hint="eastAsia" w:ascii="仿宋_GB2312" w:hAnsi="仿宋"/>
          <w:szCs w:val="32"/>
        </w:rPr>
        <w:t>支出</w:t>
      </w:r>
      <w:r>
        <w:rPr>
          <w:rFonts w:hint="eastAsia" w:ascii="仿宋_GB2312" w:hAnsi="仿宋"/>
          <w:szCs w:val="32"/>
          <w:lang w:val="en-US" w:eastAsia="zh-CN"/>
        </w:rPr>
        <w:t>5.34</w:t>
      </w:r>
      <w:r>
        <w:rPr>
          <w:rFonts w:hint="eastAsia" w:ascii="仿宋_GB2312" w:hAnsi="仿宋"/>
          <w:szCs w:val="32"/>
        </w:rPr>
        <w:t>万元，占</w:t>
      </w:r>
      <w:r>
        <w:rPr>
          <w:rFonts w:hint="eastAsia" w:ascii="仿宋_GB2312" w:hAnsi="仿宋"/>
          <w:szCs w:val="32"/>
          <w:lang w:val="en-US" w:eastAsia="zh-CN"/>
        </w:rPr>
        <w:t>4.5%</w:t>
      </w:r>
      <w:r>
        <w:rPr>
          <w:rFonts w:hint="eastAsia" w:ascii="仿宋_GB2312" w:hAnsi="仿宋"/>
          <w:szCs w:val="32"/>
        </w:rPr>
        <w:t>。</w:t>
      </w:r>
    </w:p>
    <w:p>
      <w:pPr>
        <w:rPr>
          <w:rFonts w:hint="eastAsia" w:ascii="仿宋_GB2312" w:hAnsi="仿宋"/>
          <w:b/>
          <w:bCs/>
          <w:szCs w:val="32"/>
        </w:rPr>
      </w:pPr>
    </w:p>
    <w:p>
      <w:pPr>
        <w:ind w:firstLine="643" w:firstLineChars="200"/>
        <w:rPr>
          <w:rFonts w:hint="eastAsia" w:ascii="仿宋_GB2312" w:hAnsi="仿宋"/>
          <w:b/>
          <w:bCs/>
          <w:szCs w:val="32"/>
        </w:rPr>
      </w:pPr>
      <w:r>
        <w:rPr>
          <w:rFonts w:hint="eastAsia" w:ascii="仿宋_GB2312" w:hAnsi="仿宋"/>
          <w:b/>
          <w:bCs/>
          <w:szCs w:val="32"/>
        </w:rPr>
        <w:t>（三）一般公共预算财政拨款支出决算具体情况。</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年度一般公共预算财政拨款支出年初预算为</w:t>
      </w:r>
      <w:r>
        <w:rPr>
          <w:rFonts w:hint="eastAsia" w:ascii="仿宋_GB2312" w:hAnsi="仿宋"/>
          <w:szCs w:val="32"/>
          <w:lang w:val="en-US" w:eastAsia="zh-CN"/>
        </w:rPr>
        <w:t>117.72</w:t>
      </w:r>
      <w:r>
        <w:rPr>
          <w:rFonts w:hint="eastAsia" w:ascii="仿宋_GB2312" w:hAnsi="仿宋"/>
          <w:szCs w:val="32"/>
        </w:rPr>
        <w:t>万元，支出决算为</w:t>
      </w:r>
      <w:r>
        <w:rPr>
          <w:rFonts w:hint="eastAsia" w:ascii="仿宋_GB2312" w:hAnsi="仿宋"/>
          <w:szCs w:val="32"/>
          <w:lang w:val="en-US" w:eastAsia="zh-CN"/>
        </w:rPr>
        <w:t>117.72</w:t>
      </w:r>
      <w:r>
        <w:rPr>
          <w:rFonts w:hint="eastAsia" w:ascii="仿宋_GB2312" w:hAnsi="仿宋"/>
          <w:szCs w:val="32"/>
        </w:rPr>
        <w:t>万元，完成年初预算的</w:t>
      </w:r>
      <w:r>
        <w:rPr>
          <w:rFonts w:hint="eastAsia" w:ascii="仿宋_GB2312" w:hAnsi="仿宋"/>
          <w:szCs w:val="32"/>
          <w:lang w:val="en-US" w:eastAsia="zh-CN"/>
        </w:rPr>
        <w:t>100.0</w:t>
      </w:r>
      <w:r>
        <w:rPr>
          <w:rFonts w:hint="eastAsia" w:ascii="仿宋_GB2312" w:hAnsi="仿宋"/>
          <w:szCs w:val="32"/>
        </w:rPr>
        <w:t>%。决算数大于（小于）预算数的主要原因:一是</w:t>
      </w:r>
      <w:r>
        <w:rPr>
          <w:rFonts w:hint="eastAsia" w:ascii="仿宋_GB2312" w:hAnsi="仿宋"/>
          <w:szCs w:val="32"/>
          <w:lang w:val="en-US" w:eastAsia="zh-CN"/>
        </w:rPr>
        <w:t>2020年受疫情影响支出减少</w:t>
      </w:r>
      <w:r>
        <w:rPr>
          <w:rFonts w:hint="eastAsia" w:ascii="仿宋_GB2312" w:hAnsi="仿宋"/>
          <w:szCs w:val="32"/>
        </w:rPr>
        <w:t>；二是</w:t>
      </w:r>
      <w:r>
        <w:rPr>
          <w:rFonts w:hint="eastAsia" w:ascii="仿宋_GB2312" w:hAnsi="仿宋"/>
          <w:szCs w:val="32"/>
          <w:lang w:val="en-US" w:eastAsia="zh-CN"/>
        </w:rPr>
        <w:t>2021年人员经费有所增加</w:t>
      </w:r>
      <w:r>
        <w:rPr>
          <w:rFonts w:hint="eastAsia" w:ascii="仿宋_GB2312" w:hAnsi="仿宋"/>
          <w:szCs w:val="32"/>
        </w:rPr>
        <w:t>。其中:基本支出</w:t>
      </w:r>
      <w:r>
        <w:rPr>
          <w:rFonts w:hint="eastAsia" w:ascii="仿宋_GB2312" w:hAnsi="仿宋"/>
          <w:szCs w:val="32"/>
          <w:lang w:val="en-US" w:eastAsia="zh-CN"/>
        </w:rPr>
        <w:t>86.49</w:t>
      </w:r>
      <w:r>
        <w:rPr>
          <w:rFonts w:hint="eastAsia" w:ascii="仿宋_GB2312" w:hAnsi="仿宋"/>
          <w:szCs w:val="32"/>
        </w:rPr>
        <w:t>万元，占</w:t>
      </w:r>
      <w:r>
        <w:rPr>
          <w:rFonts w:hint="eastAsia" w:ascii="仿宋_GB2312" w:hAnsi="仿宋"/>
          <w:szCs w:val="32"/>
          <w:lang w:val="en-US" w:eastAsia="zh-CN"/>
        </w:rPr>
        <w:t>73.5</w:t>
      </w:r>
      <w:r>
        <w:rPr>
          <w:rFonts w:hint="eastAsia" w:ascii="仿宋_GB2312" w:hAnsi="仿宋"/>
          <w:szCs w:val="32"/>
        </w:rPr>
        <w:t>%；项目支出</w:t>
      </w:r>
      <w:r>
        <w:rPr>
          <w:rFonts w:hint="eastAsia" w:ascii="仿宋_GB2312" w:hAnsi="仿宋"/>
          <w:szCs w:val="32"/>
          <w:lang w:val="en-US" w:eastAsia="zh-CN"/>
        </w:rPr>
        <w:t>31.23</w:t>
      </w:r>
      <w:r>
        <w:rPr>
          <w:rFonts w:hint="eastAsia" w:ascii="仿宋_GB2312" w:hAnsi="仿宋"/>
          <w:szCs w:val="32"/>
        </w:rPr>
        <w:t>万元，占</w:t>
      </w:r>
      <w:r>
        <w:rPr>
          <w:rFonts w:hint="eastAsia" w:ascii="仿宋_GB2312" w:hAnsi="仿宋"/>
          <w:szCs w:val="32"/>
          <w:lang w:val="en-US" w:eastAsia="zh-CN"/>
        </w:rPr>
        <w:t>26.5</w:t>
      </w:r>
      <w:r>
        <w:rPr>
          <w:rFonts w:hint="eastAsia" w:ascii="仿宋_GB2312" w:hAnsi="仿宋"/>
          <w:szCs w:val="32"/>
        </w:rPr>
        <w:t>%。具体情况如下：</w:t>
      </w:r>
    </w:p>
    <w:p>
      <w:pPr>
        <w:ind w:firstLine="640" w:firstLineChars="200"/>
        <w:rPr>
          <w:rFonts w:hint="eastAsia" w:ascii="仿宋_GB2312" w:hAnsi="仿宋"/>
          <w:szCs w:val="32"/>
        </w:rPr>
      </w:pPr>
      <w:r>
        <w:rPr>
          <w:rFonts w:hint="eastAsia" w:ascii="仿宋_GB2312" w:hAnsi="仿宋"/>
          <w:szCs w:val="32"/>
        </w:rPr>
        <w:t>1.</w:t>
      </w:r>
      <w:r>
        <w:rPr>
          <w:rFonts w:hint="eastAsia" w:ascii="仿宋_GB2312" w:hAnsi="仿宋"/>
          <w:b/>
          <w:bCs/>
          <w:szCs w:val="32"/>
          <w:lang w:val="en-US" w:eastAsia="zh-CN"/>
        </w:rPr>
        <w:t>教育支出</w:t>
      </w:r>
      <w:r>
        <w:rPr>
          <w:rFonts w:hint="eastAsia" w:ascii="仿宋_GB2312" w:hAnsi="仿宋"/>
          <w:b/>
          <w:szCs w:val="32"/>
        </w:rPr>
        <w:t>（类）</w:t>
      </w:r>
      <w:r>
        <w:rPr>
          <w:rFonts w:hint="eastAsia" w:ascii="仿宋_GB2312" w:hAnsi="仿宋"/>
          <w:b/>
          <w:szCs w:val="32"/>
          <w:lang w:val="en-US" w:eastAsia="zh-CN"/>
        </w:rPr>
        <w:t>进修及培训</w:t>
      </w:r>
      <w:r>
        <w:rPr>
          <w:rFonts w:hint="eastAsia" w:ascii="仿宋_GB2312" w:hAnsi="仿宋"/>
          <w:b/>
          <w:szCs w:val="32"/>
        </w:rPr>
        <w:t>（款）</w:t>
      </w:r>
      <w:r>
        <w:rPr>
          <w:rFonts w:hint="eastAsia" w:ascii="仿宋_GB2312" w:hAnsi="仿宋"/>
          <w:b/>
          <w:szCs w:val="32"/>
          <w:lang w:val="en-US" w:eastAsia="zh-CN"/>
        </w:rPr>
        <w:t>干部教育</w:t>
      </w:r>
      <w:r>
        <w:rPr>
          <w:rFonts w:hint="eastAsia" w:ascii="仿宋_GB2312" w:hAnsi="仿宋"/>
          <w:b/>
          <w:szCs w:val="32"/>
        </w:rPr>
        <w:t>（项）</w:t>
      </w:r>
      <w:r>
        <w:rPr>
          <w:rFonts w:hint="eastAsia" w:ascii="仿宋_GB2312" w:hAnsi="仿宋"/>
          <w:szCs w:val="32"/>
        </w:rPr>
        <w:t>。年初预算为</w:t>
      </w:r>
      <w:r>
        <w:rPr>
          <w:rFonts w:hint="eastAsia" w:ascii="仿宋_GB2312" w:hAnsi="仿宋"/>
          <w:szCs w:val="32"/>
          <w:lang w:val="en-US" w:eastAsia="zh-CN"/>
        </w:rPr>
        <w:t>152.22</w:t>
      </w:r>
      <w:r>
        <w:rPr>
          <w:rFonts w:hint="eastAsia" w:ascii="仿宋_GB2312" w:hAnsi="仿宋"/>
          <w:szCs w:val="32"/>
        </w:rPr>
        <w:t>万元，支出决算为</w:t>
      </w:r>
      <w:r>
        <w:rPr>
          <w:rFonts w:hint="eastAsia" w:ascii="仿宋_GB2312" w:hAnsi="仿宋"/>
          <w:szCs w:val="32"/>
          <w:lang w:val="en-US" w:eastAsia="zh-CN"/>
        </w:rPr>
        <w:t>86.03</w:t>
      </w:r>
      <w:r>
        <w:rPr>
          <w:rFonts w:hint="eastAsia" w:ascii="仿宋_GB2312" w:hAnsi="仿宋"/>
          <w:szCs w:val="32"/>
        </w:rPr>
        <w:t>万元，完成年初预算的</w:t>
      </w:r>
      <w:r>
        <w:rPr>
          <w:rFonts w:hint="eastAsia" w:ascii="仿宋_GB2312" w:hAnsi="仿宋"/>
          <w:szCs w:val="32"/>
          <w:lang w:val="en-US" w:eastAsia="zh-CN"/>
        </w:rPr>
        <w:t>56.5</w:t>
      </w:r>
      <w:r>
        <w:rPr>
          <w:rFonts w:hint="eastAsia" w:ascii="仿宋_GB2312" w:hAnsi="仿宋"/>
          <w:szCs w:val="32"/>
        </w:rPr>
        <w:t>%，决算数小于预算数的主要原因</w:t>
      </w:r>
      <w:r>
        <w:rPr>
          <w:rFonts w:hint="eastAsia" w:ascii="仿宋_GB2312" w:hAnsi="仿宋"/>
          <w:szCs w:val="32"/>
          <w:lang w:eastAsia="zh-CN"/>
        </w:rPr>
        <w:t>：</w:t>
      </w:r>
      <w:r>
        <w:rPr>
          <w:rFonts w:hint="eastAsia" w:ascii="仿宋_GB2312" w:hAnsi="仿宋"/>
          <w:szCs w:val="32"/>
          <w:lang w:val="en-US" w:eastAsia="zh-CN"/>
        </w:rPr>
        <w:t>一</w:t>
      </w:r>
      <w:r>
        <w:rPr>
          <w:rFonts w:hint="eastAsia" w:ascii="仿宋_GB2312" w:hAnsi="仿宋"/>
          <w:szCs w:val="32"/>
        </w:rPr>
        <w:t>是</w:t>
      </w:r>
      <w:r>
        <w:rPr>
          <w:rFonts w:hint="eastAsia" w:ascii="仿宋_GB2312" w:hAnsi="仿宋"/>
          <w:szCs w:val="32"/>
          <w:lang w:val="en-US" w:eastAsia="zh-CN"/>
        </w:rPr>
        <w:t>人员调出减少；二是受疫情影响项目支出进度缓慢</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rPr>
        <w:t>2.</w:t>
      </w:r>
      <w:r>
        <w:rPr>
          <w:rFonts w:hint="eastAsia" w:ascii="仿宋_GB2312" w:hAnsi="仿宋"/>
          <w:b/>
          <w:bCs/>
          <w:szCs w:val="32"/>
          <w:lang w:val="en-US" w:eastAsia="zh-CN"/>
        </w:rPr>
        <w:t>社会保障和就业支出</w:t>
      </w:r>
      <w:r>
        <w:rPr>
          <w:rFonts w:hint="eastAsia" w:ascii="仿宋_GB2312" w:hAnsi="仿宋"/>
          <w:b/>
          <w:szCs w:val="32"/>
        </w:rPr>
        <w:t>（类）</w:t>
      </w:r>
      <w:r>
        <w:rPr>
          <w:rFonts w:hint="eastAsia" w:ascii="仿宋_GB2312" w:hAnsi="仿宋"/>
          <w:b/>
          <w:szCs w:val="32"/>
          <w:lang w:val="en-US" w:eastAsia="zh-CN"/>
        </w:rPr>
        <w:t>行政事业单位养老支出</w:t>
      </w:r>
      <w:r>
        <w:rPr>
          <w:rFonts w:hint="eastAsia" w:ascii="仿宋_GB2312" w:hAnsi="仿宋"/>
          <w:b/>
          <w:szCs w:val="32"/>
        </w:rPr>
        <w:t>（款）机关事业单位基本养老保险缴费支出（项）</w:t>
      </w:r>
      <w:r>
        <w:rPr>
          <w:rFonts w:hint="eastAsia" w:ascii="仿宋_GB2312" w:hAnsi="仿宋"/>
          <w:szCs w:val="32"/>
        </w:rPr>
        <w:t>。年初预算为</w:t>
      </w:r>
      <w:r>
        <w:rPr>
          <w:rFonts w:hint="eastAsia" w:ascii="仿宋_GB2312" w:hAnsi="仿宋"/>
          <w:szCs w:val="32"/>
          <w:lang w:val="en-US" w:eastAsia="zh-CN"/>
        </w:rPr>
        <w:t>5.07</w:t>
      </w:r>
      <w:r>
        <w:rPr>
          <w:rFonts w:hint="eastAsia" w:ascii="仿宋_GB2312" w:hAnsi="仿宋"/>
          <w:szCs w:val="32"/>
        </w:rPr>
        <w:t>万元，支出决算</w:t>
      </w:r>
      <w:r>
        <w:rPr>
          <w:rFonts w:hint="eastAsia" w:ascii="仿宋_GB2312" w:hAnsi="仿宋"/>
          <w:szCs w:val="32"/>
          <w:lang w:val="en-US" w:eastAsia="zh-CN"/>
        </w:rPr>
        <w:t>23</w:t>
      </w:r>
      <w:r>
        <w:rPr>
          <w:rFonts w:hint="eastAsia" w:ascii="仿宋_GB2312" w:hAnsi="仿宋"/>
          <w:szCs w:val="32"/>
        </w:rPr>
        <w:t>万元，完成年初预算的</w:t>
      </w:r>
      <w:r>
        <w:rPr>
          <w:rFonts w:hint="eastAsia" w:ascii="仿宋_GB2312" w:hAnsi="仿宋"/>
          <w:szCs w:val="32"/>
          <w:lang w:val="en-US" w:eastAsia="zh-CN"/>
        </w:rPr>
        <w:t>453.6</w:t>
      </w:r>
      <w:r>
        <w:rPr>
          <w:rFonts w:hint="eastAsia" w:ascii="仿宋_GB2312" w:hAnsi="仿宋"/>
          <w:szCs w:val="32"/>
        </w:rPr>
        <w:t>%，决算数大于预算数的主要原因是</w:t>
      </w:r>
      <w:r>
        <w:rPr>
          <w:rFonts w:hint="eastAsia" w:ascii="仿宋_GB2312" w:hAnsi="仿宋"/>
          <w:szCs w:val="32"/>
          <w:lang w:val="en-US" w:eastAsia="zh-CN"/>
        </w:rPr>
        <w:t>年中机关养老保险基数调整，缴费数增加</w:t>
      </w:r>
      <w:r>
        <w:rPr>
          <w:rFonts w:hint="eastAsia" w:ascii="仿宋_GB2312" w:hAnsi="仿宋"/>
          <w:szCs w:val="32"/>
        </w:rPr>
        <w:t>。</w:t>
      </w:r>
    </w:p>
    <w:p>
      <w:pPr>
        <w:ind w:firstLine="640" w:firstLineChars="200"/>
        <w:rPr>
          <w:rFonts w:hint="eastAsia" w:ascii="仿宋_GB2312" w:hAnsi="仿宋"/>
          <w:szCs w:val="32"/>
          <w:lang w:eastAsia="zh-CN"/>
        </w:rPr>
      </w:pPr>
      <w:r>
        <w:rPr>
          <w:rFonts w:hint="eastAsia" w:ascii="仿宋_GB2312" w:hAnsi="仿宋"/>
          <w:szCs w:val="32"/>
          <w:lang w:val="en-US" w:eastAsia="zh-CN"/>
        </w:rPr>
        <w:t>3</w:t>
      </w:r>
      <w:r>
        <w:rPr>
          <w:rFonts w:hint="eastAsia" w:ascii="仿宋_GB2312" w:hAnsi="仿宋"/>
          <w:szCs w:val="32"/>
        </w:rPr>
        <w:t>.</w:t>
      </w:r>
      <w:r>
        <w:rPr>
          <w:rFonts w:hint="eastAsia" w:ascii="仿宋_GB2312" w:hAnsi="仿宋"/>
          <w:b/>
          <w:bCs/>
          <w:szCs w:val="32"/>
          <w:lang w:val="en-US" w:eastAsia="zh-CN"/>
        </w:rPr>
        <w:t>卫生健康支出</w:t>
      </w:r>
      <w:r>
        <w:rPr>
          <w:rFonts w:hint="eastAsia" w:ascii="仿宋_GB2312" w:hAnsi="仿宋"/>
          <w:b/>
          <w:szCs w:val="32"/>
        </w:rPr>
        <w:t>（类）</w:t>
      </w:r>
      <w:r>
        <w:rPr>
          <w:rFonts w:hint="eastAsia" w:ascii="仿宋_GB2312" w:hAnsi="仿宋"/>
          <w:b/>
          <w:szCs w:val="32"/>
          <w:lang w:val="en-US" w:eastAsia="zh-CN"/>
        </w:rPr>
        <w:t>行政事业单位医疗</w:t>
      </w:r>
      <w:r>
        <w:rPr>
          <w:rFonts w:hint="eastAsia" w:ascii="仿宋_GB2312" w:hAnsi="仿宋"/>
          <w:b/>
          <w:szCs w:val="32"/>
        </w:rPr>
        <w:t>（款）</w:t>
      </w:r>
      <w:r>
        <w:rPr>
          <w:rFonts w:hint="eastAsia" w:ascii="仿宋_GB2312" w:hAnsi="仿宋"/>
          <w:b/>
          <w:szCs w:val="32"/>
          <w:lang w:val="en-US" w:eastAsia="zh-CN"/>
        </w:rPr>
        <w:t>事业单位医疗</w:t>
      </w:r>
      <w:r>
        <w:rPr>
          <w:rFonts w:hint="eastAsia" w:ascii="仿宋_GB2312" w:hAnsi="仿宋"/>
          <w:b/>
          <w:szCs w:val="32"/>
        </w:rPr>
        <w:t>（项）</w:t>
      </w:r>
      <w:r>
        <w:rPr>
          <w:rFonts w:hint="eastAsia" w:ascii="仿宋_GB2312" w:hAnsi="仿宋"/>
          <w:b/>
          <w:color w:val="000000"/>
          <w:szCs w:val="32"/>
        </w:rPr>
        <w:t>。</w:t>
      </w:r>
      <w:r>
        <w:rPr>
          <w:rFonts w:hint="eastAsia" w:ascii="仿宋_GB2312" w:hAnsi="仿宋"/>
          <w:szCs w:val="32"/>
        </w:rPr>
        <w:t>年初预算为</w:t>
      </w:r>
      <w:r>
        <w:rPr>
          <w:rFonts w:hint="eastAsia" w:ascii="仿宋_GB2312" w:hAnsi="仿宋"/>
          <w:szCs w:val="32"/>
          <w:lang w:val="en-US" w:eastAsia="zh-CN"/>
        </w:rPr>
        <w:t>3.36</w:t>
      </w:r>
      <w:r>
        <w:rPr>
          <w:rFonts w:hint="eastAsia" w:ascii="仿宋_GB2312" w:hAnsi="仿宋"/>
          <w:szCs w:val="32"/>
        </w:rPr>
        <w:t>万元，支出决算为</w:t>
      </w:r>
      <w:r>
        <w:rPr>
          <w:rFonts w:hint="eastAsia" w:ascii="仿宋_GB2312" w:hAnsi="仿宋"/>
          <w:szCs w:val="32"/>
          <w:lang w:val="en-US" w:eastAsia="zh-CN"/>
        </w:rPr>
        <w:t>3.36</w:t>
      </w:r>
      <w:r>
        <w:rPr>
          <w:rFonts w:hint="eastAsia" w:ascii="仿宋_GB2312" w:hAnsi="仿宋"/>
          <w:szCs w:val="32"/>
        </w:rPr>
        <w:t>万元，完成年初预算的</w:t>
      </w:r>
      <w:r>
        <w:rPr>
          <w:rFonts w:hint="eastAsia" w:ascii="仿宋_GB2312" w:hAnsi="仿宋"/>
          <w:szCs w:val="32"/>
          <w:lang w:val="en-US" w:eastAsia="zh-CN"/>
        </w:rPr>
        <w:t>100.0</w:t>
      </w:r>
      <w:r>
        <w:rPr>
          <w:rFonts w:hint="eastAsia" w:ascii="仿宋_GB2312" w:hAnsi="仿宋"/>
          <w:szCs w:val="32"/>
        </w:rPr>
        <w:t>%</w:t>
      </w:r>
      <w:r>
        <w:rPr>
          <w:rFonts w:hint="eastAsia" w:ascii="仿宋_GB2312" w:hAnsi="仿宋"/>
          <w:szCs w:val="32"/>
          <w:lang w:eastAsia="zh-CN"/>
        </w:rPr>
        <w:t>。</w:t>
      </w:r>
    </w:p>
    <w:p>
      <w:pPr>
        <w:ind w:firstLine="640" w:firstLineChars="200"/>
        <w:rPr>
          <w:rFonts w:hint="default" w:ascii="仿宋_GB2312" w:hAnsi="仿宋" w:eastAsia="仿宋_GB2312"/>
          <w:szCs w:val="32"/>
          <w:lang w:val="en-US" w:eastAsia="zh-CN"/>
        </w:rPr>
      </w:pPr>
      <w:r>
        <w:rPr>
          <w:rFonts w:hint="eastAsia" w:ascii="仿宋_GB2312" w:hAnsi="仿宋"/>
          <w:szCs w:val="32"/>
          <w:lang w:val="en-US" w:eastAsia="zh-CN"/>
        </w:rPr>
        <w:t xml:space="preserve">4. </w:t>
      </w:r>
      <w:r>
        <w:rPr>
          <w:rFonts w:hint="eastAsia" w:ascii="仿宋_GB2312" w:hAnsi="仿宋"/>
          <w:b/>
          <w:bCs/>
          <w:szCs w:val="32"/>
          <w:lang w:val="en-US" w:eastAsia="zh-CN"/>
        </w:rPr>
        <w:t>住房保障支出</w:t>
      </w:r>
      <w:r>
        <w:rPr>
          <w:rFonts w:hint="eastAsia" w:ascii="仿宋_GB2312" w:hAnsi="仿宋"/>
          <w:b/>
          <w:szCs w:val="32"/>
        </w:rPr>
        <w:t>（类）</w:t>
      </w:r>
      <w:r>
        <w:rPr>
          <w:rFonts w:hint="eastAsia" w:ascii="仿宋_GB2312" w:hAnsi="仿宋"/>
          <w:b/>
          <w:szCs w:val="32"/>
          <w:lang w:val="en-US" w:eastAsia="zh-CN"/>
        </w:rPr>
        <w:t>住房改革支出</w:t>
      </w:r>
      <w:r>
        <w:rPr>
          <w:rFonts w:hint="eastAsia" w:ascii="仿宋_GB2312" w:hAnsi="仿宋"/>
          <w:b/>
          <w:szCs w:val="32"/>
        </w:rPr>
        <w:t>（款）</w:t>
      </w:r>
      <w:r>
        <w:rPr>
          <w:rFonts w:hint="eastAsia" w:ascii="仿宋_GB2312" w:hAnsi="仿宋"/>
          <w:b/>
          <w:szCs w:val="32"/>
          <w:lang w:val="en-US" w:eastAsia="zh-CN"/>
        </w:rPr>
        <w:t>住房公积金</w:t>
      </w:r>
      <w:r>
        <w:rPr>
          <w:rFonts w:hint="eastAsia" w:ascii="仿宋_GB2312" w:hAnsi="仿宋"/>
          <w:b/>
          <w:szCs w:val="32"/>
        </w:rPr>
        <w:t>（项）</w:t>
      </w:r>
      <w:r>
        <w:rPr>
          <w:rFonts w:hint="eastAsia" w:ascii="仿宋_GB2312" w:hAnsi="仿宋"/>
          <w:b/>
          <w:color w:val="000000"/>
          <w:szCs w:val="32"/>
        </w:rPr>
        <w:t>。</w:t>
      </w:r>
      <w:r>
        <w:rPr>
          <w:rFonts w:hint="eastAsia" w:ascii="仿宋_GB2312" w:hAnsi="仿宋"/>
          <w:szCs w:val="32"/>
        </w:rPr>
        <w:t>年初预算为</w:t>
      </w:r>
      <w:r>
        <w:rPr>
          <w:rFonts w:hint="eastAsia" w:ascii="仿宋_GB2312" w:hAnsi="仿宋"/>
          <w:szCs w:val="32"/>
          <w:lang w:val="en-US" w:eastAsia="zh-CN"/>
        </w:rPr>
        <w:t>5.7</w:t>
      </w:r>
      <w:r>
        <w:rPr>
          <w:rFonts w:hint="eastAsia" w:ascii="仿宋_GB2312" w:hAnsi="仿宋"/>
          <w:szCs w:val="32"/>
        </w:rPr>
        <w:t>万元，支出决算为</w:t>
      </w:r>
      <w:r>
        <w:rPr>
          <w:rFonts w:hint="eastAsia" w:ascii="仿宋_GB2312" w:hAnsi="仿宋"/>
          <w:szCs w:val="32"/>
          <w:lang w:val="en-US" w:eastAsia="zh-CN"/>
        </w:rPr>
        <w:t>5.34</w:t>
      </w:r>
      <w:r>
        <w:rPr>
          <w:rFonts w:hint="eastAsia" w:ascii="仿宋_GB2312" w:hAnsi="仿宋"/>
          <w:szCs w:val="32"/>
        </w:rPr>
        <w:t>万元，完成年初预算的</w:t>
      </w:r>
      <w:r>
        <w:rPr>
          <w:rFonts w:hint="eastAsia" w:ascii="仿宋_GB2312" w:hAnsi="仿宋"/>
          <w:szCs w:val="32"/>
          <w:lang w:val="en-US" w:eastAsia="zh-CN"/>
        </w:rPr>
        <w:t>93.7</w:t>
      </w:r>
      <w:r>
        <w:rPr>
          <w:rFonts w:hint="eastAsia" w:ascii="仿宋_GB2312" w:hAnsi="仿宋"/>
          <w:szCs w:val="32"/>
        </w:rPr>
        <w:t>%，决算数小于预算数的主要原因是</w:t>
      </w:r>
      <w:r>
        <w:rPr>
          <w:rFonts w:hint="eastAsia" w:ascii="仿宋_GB2312" w:hAnsi="仿宋"/>
          <w:szCs w:val="32"/>
          <w:lang w:val="en-US" w:eastAsia="zh-CN"/>
        </w:rPr>
        <w:t>人员调出减少。</w:t>
      </w:r>
    </w:p>
    <w:p>
      <w:pPr>
        <w:ind w:firstLine="640" w:firstLineChars="200"/>
        <w:rPr>
          <w:rFonts w:hint="eastAsia" w:ascii="黑体" w:hAnsi="仿宋" w:eastAsia="黑体"/>
          <w:szCs w:val="32"/>
        </w:rPr>
      </w:pP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年度财政拨款基本支出</w:t>
      </w:r>
      <w:r>
        <w:rPr>
          <w:rFonts w:hint="eastAsia" w:ascii="仿宋_GB2312" w:hAnsi="仿宋"/>
          <w:szCs w:val="32"/>
          <w:lang w:val="en-US" w:eastAsia="zh-CN"/>
        </w:rPr>
        <w:t>86.49</w:t>
      </w:r>
      <w:r>
        <w:rPr>
          <w:rFonts w:hint="eastAsia" w:ascii="仿宋_GB2312" w:hAnsi="仿宋"/>
          <w:szCs w:val="32"/>
        </w:rPr>
        <w:t>万元，其中</w:t>
      </w:r>
      <w:r>
        <w:rPr>
          <w:rFonts w:hint="eastAsia" w:ascii="仿宋_GB2312" w:hAnsi="仿宋"/>
          <w:color w:val="000000"/>
          <w:szCs w:val="32"/>
        </w:rPr>
        <w:t>：</w:t>
      </w:r>
      <w:r>
        <w:rPr>
          <w:rFonts w:hint="eastAsia" w:ascii="仿宋_GB2312" w:hAnsi="仿宋"/>
          <w:szCs w:val="32"/>
        </w:rPr>
        <w:t>人员经费</w:t>
      </w:r>
      <w:r>
        <w:rPr>
          <w:rFonts w:hint="eastAsia" w:ascii="仿宋_GB2312" w:hAnsi="仿宋"/>
          <w:szCs w:val="32"/>
          <w:lang w:val="en-US" w:eastAsia="zh-CN"/>
        </w:rPr>
        <w:t>79.31</w:t>
      </w:r>
      <w:r>
        <w:rPr>
          <w:rFonts w:hint="eastAsia" w:ascii="仿宋_GB2312" w:hAnsi="仿宋"/>
          <w:szCs w:val="32"/>
        </w:rPr>
        <w:t>万元，主要包括:基本工资、奖金、机关事业单位基本养老</w:t>
      </w:r>
      <w:r>
        <w:rPr>
          <w:rFonts w:hint="eastAsia" w:ascii="仿宋_GB2312" w:hAnsi="仿宋"/>
          <w:color w:val="auto"/>
          <w:szCs w:val="32"/>
        </w:rPr>
        <w:t>保险</w:t>
      </w:r>
      <w:r>
        <w:rPr>
          <w:rFonts w:hint="eastAsia" w:ascii="仿宋_GB2312" w:hAnsi="仿宋"/>
          <w:color w:val="auto"/>
          <w:szCs w:val="32"/>
          <w:lang w:eastAsia="zh-CN"/>
        </w:rPr>
        <w:t>缴</w:t>
      </w:r>
      <w:r>
        <w:rPr>
          <w:rFonts w:hint="eastAsia" w:ascii="仿宋_GB2312" w:hAnsi="仿宋"/>
          <w:color w:val="auto"/>
          <w:szCs w:val="32"/>
        </w:rPr>
        <w:t>费、职业年金缴费、职工基本医疗保险缴费、</w:t>
      </w:r>
      <w:r>
        <w:rPr>
          <w:rFonts w:hint="eastAsia" w:ascii="仿宋_GB2312" w:hAnsi="仿宋"/>
          <w:szCs w:val="32"/>
        </w:rPr>
        <w:t>其他社会保障缴费、住房公积金</w:t>
      </w:r>
      <w:r>
        <w:rPr>
          <w:rFonts w:hint="eastAsia" w:ascii="仿宋_GB2312" w:hAnsi="仿宋"/>
          <w:szCs w:val="32"/>
          <w:lang w:eastAsia="zh-CN"/>
        </w:rPr>
        <w:t>；</w:t>
      </w:r>
      <w:r>
        <w:rPr>
          <w:rFonts w:hint="eastAsia" w:ascii="仿宋_GB2312" w:hAnsi="仿宋"/>
          <w:szCs w:val="32"/>
        </w:rPr>
        <w:t>公用经费</w:t>
      </w:r>
      <w:r>
        <w:rPr>
          <w:rFonts w:hint="eastAsia" w:ascii="仿宋_GB2312" w:hAnsi="仿宋"/>
          <w:szCs w:val="32"/>
          <w:lang w:val="en-US" w:eastAsia="zh-CN"/>
        </w:rPr>
        <w:t>7.19</w:t>
      </w:r>
      <w:r>
        <w:rPr>
          <w:rFonts w:hint="eastAsia" w:ascii="仿宋_GB2312" w:hAnsi="仿宋"/>
          <w:szCs w:val="32"/>
        </w:rPr>
        <w:t>万元，主要包括：办公费、差旅费</w:t>
      </w:r>
      <w:r>
        <w:rPr>
          <w:rFonts w:hint="eastAsia" w:ascii="仿宋_GB2312" w:hAnsi="仿宋"/>
          <w:color w:val="auto"/>
          <w:szCs w:val="32"/>
        </w:rPr>
        <w:t>、维修（护）费、</w:t>
      </w:r>
      <w:r>
        <w:rPr>
          <w:rFonts w:hint="eastAsia" w:ascii="仿宋_GB2312" w:hAnsi="仿宋"/>
          <w:szCs w:val="32"/>
        </w:rPr>
        <w:t>劳务费、工会经费、其他交通费用等。</w:t>
      </w:r>
    </w:p>
    <w:p>
      <w:pPr>
        <w:numPr>
          <w:ilvl w:val="0"/>
          <w:numId w:val="0"/>
        </w:numPr>
        <w:rPr>
          <w:rFonts w:hint="eastAsia" w:ascii="黑体" w:hAnsi="仿宋" w:eastAsia="黑体"/>
          <w:szCs w:val="32"/>
          <w:highlight w:val="none"/>
        </w:rPr>
      </w:pPr>
    </w:p>
    <w:p>
      <w:pPr>
        <w:numPr>
          <w:ilvl w:val="0"/>
          <w:numId w:val="2"/>
        </w:numPr>
        <w:ind w:firstLine="640" w:firstLineChars="200"/>
        <w:rPr>
          <w:rFonts w:hint="eastAsia" w:ascii="黑体" w:hAnsi="黑体" w:eastAsia="黑体"/>
          <w:szCs w:val="32"/>
          <w:highlight w:val="none"/>
        </w:rPr>
      </w:pPr>
      <w:r>
        <w:rPr>
          <w:rFonts w:hint="eastAsia" w:ascii="黑体" w:hAnsi="黑体" w:eastAsia="黑体"/>
          <w:szCs w:val="32"/>
          <w:highlight w:val="none"/>
        </w:rPr>
        <w:t>政府性基金财政拨款收入支出决算情况说明</w:t>
      </w:r>
    </w:p>
    <w:p>
      <w:pPr>
        <w:ind w:firstLine="640" w:firstLineChars="200"/>
        <w:rPr>
          <w:rFonts w:hint="eastAsia" w:ascii="仿宋_GB2312" w:hAnsi="仿宋" w:eastAsia="仿宋_GB2312"/>
          <w:szCs w:val="32"/>
          <w:lang w:eastAsia="zh-CN"/>
        </w:rPr>
      </w:pPr>
      <w:r>
        <w:rPr>
          <w:rFonts w:hint="eastAsia" w:ascii="仿宋_GB2312" w:hAnsi="仿宋"/>
          <w:szCs w:val="32"/>
          <w:lang w:val="en-US" w:eastAsia="zh-CN"/>
        </w:rPr>
        <w:t>蚌埠市党员电化教育中心2021年度</w:t>
      </w:r>
      <w:r>
        <w:rPr>
          <w:rFonts w:hint="eastAsia" w:ascii="仿宋_GB2312" w:hAnsi="仿宋"/>
          <w:szCs w:val="32"/>
        </w:rPr>
        <w:t>没有政府性基金收入，也没有使用政府性基金安排的支出</w:t>
      </w:r>
      <w:r>
        <w:rPr>
          <w:rFonts w:hint="eastAsia" w:ascii="仿宋_GB2312" w:hAnsi="仿宋"/>
          <w:szCs w:val="32"/>
          <w:lang w:eastAsia="zh-CN"/>
        </w:rPr>
        <w:t>。</w:t>
      </w:r>
    </w:p>
    <w:p>
      <w:pPr>
        <w:ind w:firstLine="640" w:firstLineChars="200"/>
        <w:rPr>
          <w:rFonts w:hint="eastAsia" w:ascii="楷体_GB2312" w:hAnsi="仿宋" w:eastAsia="楷体_GB2312"/>
          <w:color w:val="FF0000"/>
          <w:szCs w:val="32"/>
          <w:highlight w:val="lightGray"/>
          <w:lang w:val="en-US" w:eastAsia="zh-CN"/>
        </w:rPr>
      </w:pPr>
    </w:p>
    <w:p>
      <w:pPr>
        <w:ind w:firstLine="640" w:firstLineChars="200"/>
        <w:rPr>
          <w:rFonts w:hint="eastAsia" w:ascii="黑体" w:hAnsi="黑体" w:eastAsia="黑体"/>
          <w:szCs w:val="32"/>
        </w:rPr>
      </w:pPr>
      <w:r>
        <w:rPr>
          <w:rFonts w:hint="eastAsia" w:ascii="黑体" w:hAnsi="黑体" w:eastAsia="黑体"/>
          <w:szCs w:val="32"/>
        </w:rPr>
        <w:t>八、国有资本经营预算财政拨款支出情况说明</w:t>
      </w:r>
    </w:p>
    <w:p>
      <w:pPr>
        <w:ind w:firstLine="640" w:firstLineChars="200"/>
        <w:rPr>
          <w:rFonts w:hint="eastAsia" w:ascii="仿宋_GB2312" w:hAnsi="仿宋"/>
          <w:szCs w:val="32"/>
          <w:lang w:val="en-US" w:eastAsia="zh-CN"/>
        </w:rPr>
      </w:pPr>
      <w:r>
        <w:rPr>
          <w:rFonts w:hint="eastAsia" w:ascii="仿宋_GB2312" w:hAnsi="仿宋"/>
          <w:szCs w:val="32"/>
          <w:lang w:val="en-US" w:eastAsia="zh-CN"/>
        </w:rPr>
        <w:t>蚌埠市党员电化教育中心2021年度没有使用国有资本经营预算财政拨款安排的支出。</w:t>
      </w:r>
    </w:p>
    <w:p>
      <w:pPr>
        <w:ind w:firstLine="640" w:firstLineChars="200"/>
        <w:rPr>
          <w:rFonts w:hint="eastAsia" w:ascii="楷体_GB2312" w:hAnsi="仿宋" w:eastAsia="楷体_GB2312"/>
          <w:color w:val="auto"/>
          <w:szCs w:val="32"/>
          <w:highlight w:val="lightGray"/>
          <w:lang w:val="en-US" w:eastAsia="zh-CN"/>
        </w:rPr>
      </w:pP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（一）机关运行经费支出情况。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w:t>
      </w:r>
      <w:r>
        <w:rPr>
          <w:rFonts w:hint="eastAsia" w:ascii="仿宋_GB2312" w:hAnsi="仿宋"/>
          <w:szCs w:val="32"/>
          <w:lang w:val="en-US" w:eastAsia="zh-CN"/>
        </w:rPr>
        <w:t>蚌埠市党员电化教育中心</w:t>
      </w:r>
      <w:r>
        <w:rPr>
          <w:rFonts w:hint="eastAsia" w:ascii="仿宋_GB2312" w:hAnsi="仿宋"/>
          <w:szCs w:val="32"/>
        </w:rPr>
        <w:t>机关运行经费支出</w:t>
      </w:r>
      <w:r>
        <w:rPr>
          <w:rFonts w:hint="eastAsia" w:ascii="仿宋_GB2312" w:hAnsi="仿宋"/>
          <w:szCs w:val="32"/>
          <w:lang w:val="en-US" w:eastAsia="zh-CN"/>
        </w:rPr>
        <w:t>7.19</w:t>
      </w:r>
      <w:r>
        <w:rPr>
          <w:rFonts w:hint="eastAsia" w:ascii="仿宋_GB2312" w:hAnsi="仿宋"/>
          <w:szCs w:val="32"/>
        </w:rPr>
        <w:t>万元，比</w:t>
      </w:r>
      <w:r>
        <w:rPr>
          <w:rFonts w:hint="eastAsia" w:ascii="仿宋_GB2312" w:hAnsi="仿宋"/>
          <w:szCs w:val="32"/>
          <w:lang w:eastAsia="zh-CN"/>
        </w:rPr>
        <w:t>2020</w:t>
      </w:r>
      <w:r>
        <w:rPr>
          <w:rFonts w:hint="eastAsia" w:ascii="仿宋_GB2312" w:hAnsi="仿宋"/>
          <w:szCs w:val="32"/>
        </w:rPr>
        <w:t>年增加</w:t>
      </w:r>
      <w:r>
        <w:rPr>
          <w:rFonts w:hint="eastAsia" w:ascii="仿宋_GB2312" w:hAnsi="仿宋"/>
          <w:szCs w:val="32"/>
          <w:lang w:val="en-US" w:eastAsia="zh-CN"/>
        </w:rPr>
        <w:t>7.19</w:t>
      </w:r>
      <w:r>
        <w:rPr>
          <w:rFonts w:hint="eastAsia" w:ascii="仿宋_GB2312" w:hAnsi="仿宋"/>
          <w:szCs w:val="32"/>
        </w:rPr>
        <w:t>万元，，主要原因是</w:t>
      </w:r>
      <w:r>
        <w:rPr>
          <w:rFonts w:hint="eastAsia" w:ascii="仿宋_GB2312" w:hAnsi="仿宋"/>
          <w:szCs w:val="32"/>
          <w:lang w:val="en-US" w:eastAsia="zh-CN"/>
        </w:rPr>
        <w:t>人员公用经费增加</w:t>
      </w:r>
      <w:r>
        <w:rPr>
          <w:rFonts w:hint="eastAsia" w:ascii="仿宋_GB2312" w:hAnsi="仿宋"/>
          <w:szCs w:val="32"/>
        </w:rPr>
        <w:t>。</w:t>
      </w:r>
    </w:p>
    <w:p>
      <w:pPr>
        <w:adjustRightInd w:val="0"/>
        <w:snapToGrid w:val="0"/>
        <w:spacing w:line="600" w:lineRule="exact"/>
        <w:ind w:firstLine="600" w:firstLineChars="200"/>
        <w:rPr>
          <w:rFonts w:hint="eastAsia" w:ascii="仿宋_GB2312" w:eastAsia="仿宋_GB2312"/>
          <w:sz w:val="30"/>
          <w:szCs w:val="30"/>
          <w:highlight w:val="lightGray"/>
          <w:lang w:val="en-US" w:eastAsia="zh-CN"/>
        </w:rPr>
      </w:pPr>
    </w:p>
    <w:p>
      <w:pPr>
        <w:adjustRightInd w:val="0"/>
        <w:snapToGrid w:val="0"/>
        <w:spacing w:line="600" w:lineRule="exact"/>
        <w:ind w:firstLine="643" w:firstLineChars="200"/>
        <w:rPr>
          <w:rFonts w:hint="eastAsia" w:ascii="仿宋_GB2312" w:hAnsi="楷体"/>
          <w:b/>
          <w:szCs w:val="32"/>
          <w:highlight w:val="none"/>
        </w:rPr>
      </w:pPr>
      <w:r>
        <w:rPr>
          <w:rFonts w:hint="eastAsia" w:ascii="仿宋_GB2312" w:hAnsi="楷体"/>
          <w:b/>
          <w:szCs w:val="32"/>
          <w:highlight w:val="none"/>
        </w:rPr>
        <w:t>（二）政府采购支出情况。</w:t>
      </w:r>
    </w:p>
    <w:p>
      <w:pPr>
        <w:spacing w:beforeLines="0" w:afterLines="0"/>
        <w:jc w:val="left"/>
        <w:rPr>
          <w:rFonts w:hint="eastAsia" w:ascii="仿宋_GB2312" w:hAnsi="仿宋_GB2312" w:eastAsia="仿宋_GB2312" w:cs="仿宋_GB2312"/>
          <w:sz w:val="32"/>
          <w:szCs w:val="32"/>
        </w:rPr>
      </w:pPr>
      <w:r>
        <w:rPr>
          <w:rFonts w:hint="eastAsia" w:ascii="仿宋_GB2312" w:hAnsi="仿宋"/>
          <w:szCs w:val="32"/>
          <w:lang w:val="en-US" w:eastAsia="zh-CN"/>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蚌埠市党员电化教育中心</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
          <w:szCs w:val="32"/>
        </w:rPr>
      </w:pP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（三）国有资产占有使用情况。</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val="en-US" w:eastAsia="zh-CN"/>
        </w:rPr>
        <w:t>蚌埠市党员电化教育中心</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（四）关于</w:t>
      </w:r>
      <w:r>
        <w:rPr>
          <w:rFonts w:hint="eastAsia" w:ascii="仿宋_GB2312" w:hAnsi="楷体"/>
          <w:b/>
          <w:szCs w:val="32"/>
          <w:lang w:eastAsia="zh-CN"/>
        </w:rPr>
        <w:t>2021</w:t>
      </w:r>
      <w:r>
        <w:rPr>
          <w:rFonts w:hint="eastAsia" w:ascii="仿宋_GB2312" w:hAnsi="楷体"/>
          <w:b/>
          <w:szCs w:val="32"/>
        </w:rPr>
        <w:t>年度预算绩效情况说明</w:t>
      </w:r>
    </w:p>
    <w:p>
      <w:pPr>
        <w:spacing w:line="560" w:lineRule="exact"/>
        <w:ind w:firstLine="643" w:firstLineChars="200"/>
        <w:rPr>
          <w:rFonts w:hint="eastAsia" w:ascii="楷体" w:hAnsi="楷体" w:eastAsia="楷体" w:cs="楷体"/>
          <w:bCs/>
          <w:sz w:val="32"/>
          <w:szCs w:val="32"/>
        </w:rPr>
      </w:pPr>
      <w:r>
        <w:rPr>
          <w:rFonts w:hint="eastAsia" w:ascii="仿宋_GB2312" w:hAnsi="仿宋_GB2312" w:eastAsia="仿宋_GB2312" w:cs="仿宋_GB2312"/>
          <w:b/>
          <w:bCs/>
          <w:sz w:val="32"/>
          <w:szCs w:val="32"/>
        </w:rPr>
        <w:t>1</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预算绩效管理工作开展情况。</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年度纳入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预算的项目支出全面开展了绩效自评，共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个项目，涉及资金</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万元，占项目预算总额的</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%。从评价情况看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分。项目绩效目标完成情况：一是持续推进蚌埠先锋网和党员远教市级直播频道建设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二是加大硬件购置和软件优化升级，拓宽远程教育服务功能</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整体支出开</w:t>
      </w:r>
      <w:r>
        <w:rPr>
          <w:rFonts w:hint="eastAsia" w:ascii="仿宋_GB2312" w:hAnsi="仿宋_GB2312" w:eastAsia="仿宋_GB2312" w:cs="仿宋_GB2312"/>
          <w:color w:val="auto"/>
          <w:sz w:val="32"/>
          <w:szCs w:val="32"/>
        </w:rPr>
        <w:t>展</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sz w:val="32"/>
          <w:szCs w:val="32"/>
        </w:rPr>
        <w:t>绩效自评。评价结果显示，项目</w:t>
      </w:r>
      <w:r>
        <w:rPr>
          <w:rFonts w:hint="eastAsia" w:ascii="仿宋_GB2312" w:hAnsi="仿宋_GB2312" w:eastAsia="仿宋_GB2312" w:cs="仿宋_GB2312"/>
          <w:sz w:val="32"/>
          <w:szCs w:val="32"/>
          <w:lang w:val="en-US" w:eastAsia="zh-CN"/>
        </w:rPr>
        <w:t>绩效评价工作实施顺利，绩效评价结果良好，达到了预期目标。</w:t>
      </w:r>
    </w:p>
    <w:p>
      <w:pPr>
        <w:spacing w:line="560" w:lineRule="exact"/>
        <w:ind w:firstLine="643" w:firstLineChars="200"/>
        <w:rPr>
          <w:rFonts w:hint="eastAsia" w:ascii="楷体" w:hAnsi="楷体" w:eastAsia="楷体" w:cs="楷体"/>
          <w:bCs/>
          <w:color w:val="FF0000"/>
          <w:sz w:val="32"/>
          <w:szCs w:val="32"/>
        </w:rPr>
      </w:pPr>
      <w:r>
        <w:rPr>
          <w:rFonts w:hint="eastAsia" w:ascii="仿宋_GB2312" w:hAnsi="仿宋_GB2312" w:eastAsia="仿宋_GB2312" w:cs="仿宋_GB2312"/>
          <w:b/>
          <w:bCs/>
          <w:sz w:val="32"/>
          <w:szCs w:val="32"/>
        </w:rPr>
        <w:t>2</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决算中项目绩效自评结果。</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蚌埠市党员电化教育中心</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决算中反映“</w:t>
      </w:r>
      <w:r>
        <w:rPr>
          <w:rFonts w:hint="eastAsia" w:ascii="仿宋_GB2312" w:hAnsi="仿宋_GB2312" w:eastAsia="仿宋_GB2312" w:cs="仿宋_GB2312"/>
          <w:sz w:val="32"/>
          <w:szCs w:val="32"/>
          <w:lang w:val="en-US" w:eastAsia="zh-CN"/>
        </w:rPr>
        <w:t>党员远程教育终端站点维修</w:t>
      </w:r>
      <w:r>
        <w:rPr>
          <w:rFonts w:hint="eastAsia" w:ascii="仿宋_GB2312" w:hAnsi="仿宋_GB2312" w:cs="仿宋_GB2312"/>
          <w:sz w:val="32"/>
          <w:szCs w:val="32"/>
          <w:lang w:val="en-US" w:eastAsia="zh-CN"/>
        </w:rPr>
        <w:t>护</w:t>
      </w:r>
      <w:r>
        <w:rPr>
          <w:rFonts w:hint="eastAsia" w:ascii="仿宋_GB2312" w:hAnsi="仿宋_GB2312" w:eastAsia="仿宋_GB2312" w:cs="仿宋_GB2312"/>
          <w:sz w:val="32"/>
          <w:szCs w:val="32"/>
        </w:rPr>
        <w:t>”项目绩效自评结果。</w:t>
      </w:r>
    </w:p>
    <w:p>
      <w:pPr>
        <w:spacing w:line="560" w:lineRule="exact"/>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党员远程教育终端站点维修</w:t>
      </w:r>
      <w:r>
        <w:rPr>
          <w:rFonts w:hint="eastAsia" w:ascii="仿宋_GB2312" w:hAnsi="仿宋_GB2312" w:cs="仿宋_GB2312"/>
          <w:sz w:val="32"/>
          <w:szCs w:val="32"/>
          <w:lang w:val="en-US" w:eastAsia="zh-CN"/>
        </w:rPr>
        <w:t>护</w:t>
      </w:r>
      <w:r>
        <w:rPr>
          <w:rFonts w:hint="eastAsia" w:ascii="仿宋_GB2312" w:hAnsi="仿宋_GB2312" w:eastAsia="仿宋_GB2312" w:cs="仿宋_GB2312"/>
          <w:bCs/>
          <w:color w:val="000000"/>
          <w:sz w:val="32"/>
          <w:szCs w:val="32"/>
        </w:rPr>
        <w:t>项目绩效自评综述：根据年初设定的绩效目标，项目绩效自评得分为</w:t>
      </w:r>
      <w:r>
        <w:rPr>
          <w:rFonts w:hint="eastAsia" w:ascii="仿宋_GB2312" w:hAnsi="仿宋_GB2312" w:cs="仿宋_GB2312"/>
          <w:bCs/>
          <w:color w:val="000000"/>
          <w:sz w:val="32"/>
          <w:szCs w:val="32"/>
          <w:lang w:val="en-US" w:eastAsia="zh-CN"/>
        </w:rPr>
        <w:t>100</w:t>
      </w:r>
      <w:r>
        <w:rPr>
          <w:rFonts w:hint="eastAsia" w:ascii="仿宋_GB2312" w:hAnsi="仿宋_GB2312" w:eastAsia="仿宋_GB2312" w:cs="仿宋_GB2312"/>
          <w:bCs/>
          <w:color w:val="000000"/>
          <w:sz w:val="32"/>
          <w:szCs w:val="32"/>
        </w:rPr>
        <w:t>分。全年预算数为</w:t>
      </w:r>
      <w:r>
        <w:rPr>
          <w:rFonts w:hint="eastAsia" w:ascii="仿宋_GB2312" w:hAnsi="仿宋_GB2312" w:cs="仿宋_GB2312"/>
          <w:bCs/>
          <w:color w:val="000000"/>
          <w:sz w:val="32"/>
          <w:szCs w:val="32"/>
          <w:lang w:val="en-US" w:eastAsia="zh-CN"/>
        </w:rPr>
        <w:t>11</w:t>
      </w:r>
      <w:r>
        <w:rPr>
          <w:rFonts w:hint="eastAsia" w:ascii="仿宋_GB2312" w:hAnsi="仿宋_GB2312" w:eastAsia="仿宋_GB2312" w:cs="仿宋_GB2312"/>
          <w:bCs/>
          <w:color w:val="000000"/>
          <w:sz w:val="32"/>
          <w:szCs w:val="32"/>
        </w:rPr>
        <w:t>万元，执行数为</w:t>
      </w:r>
      <w:r>
        <w:rPr>
          <w:rFonts w:hint="eastAsia" w:ascii="仿宋_GB2312" w:hAnsi="仿宋_GB2312" w:cs="仿宋_GB2312"/>
          <w:bCs/>
          <w:color w:val="000000"/>
          <w:sz w:val="32"/>
          <w:szCs w:val="32"/>
          <w:lang w:val="en-US" w:eastAsia="zh-CN"/>
        </w:rPr>
        <w:t>8.77</w:t>
      </w:r>
      <w:r>
        <w:rPr>
          <w:rFonts w:hint="eastAsia" w:ascii="仿宋_GB2312" w:hAnsi="仿宋_GB2312" w:eastAsia="仿宋_GB2312" w:cs="仿宋_GB2312"/>
          <w:bCs/>
          <w:color w:val="000000"/>
          <w:sz w:val="32"/>
          <w:szCs w:val="32"/>
        </w:rPr>
        <w:t>万元，完成预算的</w:t>
      </w:r>
      <w:r>
        <w:rPr>
          <w:rFonts w:hint="eastAsia" w:ascii="仿宋_GB2312" w:hAnsi="仿宋_GB2312" w:cs="仿宋_GB2312"/>
          <w:bCs/>
          <w:color w:val="000000"/>
          <w:sz w:val="32"/>
          <w:szCs w:val="32"/>
          <w:lang w:val="en-US" w:eastAsia="zh-CN"/>
        </w:rPr>
        <w:t>79.73</w:t>
      </w:r>
      <w:r>
        <w:rPr>
          <w:rFonts w:hint="eastAsia" w:ascii="仿宋_GB2312" w:hAnsi="仿宋_GB2312" w:eastAsia="仿宋_GB2312" w:cs="仿宋_GB2312"/>
          <w:bCs/>
          <w:color w:val="000000"/>
          <w:sz w:val="32"/>
          <w:szCs w:val="32"/>
        </w:rPr>
        <w:t>%。项目绩效目标完成情况：一是</w:t>
      </w:r>
      <w:r>
        <w:rPr>
          <w:rFonts w:hint="eastAsia" w:ascii="仿宋_GB2312" w:hAnsi="仿宋_GB2312" w:eastAsia="仿宋_GB2312" w:cs="仿宋_GB2312"/>
          <w:bCs/>
          <w:sz w:val="32"/>
          <w:szCs w:val="32"/>
        </w:rPr>
        <w:t>购置录放设备；二是全年市级频道、网站维修（护）。</w:t>
      </w:r>
      <w:r>
        <w:rPr>
          <w:rFonts w:hint="eastAsia" w:ascii="仿宋_GB2312" w:hAnsi="仿宋_GB2312" w:eastAsia="仿宋_GB2312" w:cs="仿宋_GB2312"/>
          <w:bCs/>
          <w:color w:val="000000"/>
          <w:sz w:val="32"/>
          <w:szCs w:val="32"/>
        </w:rPr>
        <w:t>发现的主要问题及原因是预算执行过程中，存在财务支出进度滞后等问题，致使下半年财务支出进度快于上半年等现象</w:t>
      </w:r>
      <w:r>
        <w:rPr>
          <w:rFonts w:hint="eastAsia" w:ascii="仿宋_GB2312" w:hAnsi="仿宋_GB2312" w:eastAsia="仿宋_GB2312" w:cs="仿宋_GB2312"/>
          <w:bCs/>
          <w:sz w:val="32"/>
          <w:szCs w:val="32"/>
        </w:rPr>
        <w:t>。下一步改进措施：</w:t>
      </w:r>
      <w:r>
        <w:rPr>
          <w:rFonts w:hint="eastAsia" w:ascii="仿宋_GB2312" w:hAnsi="仿宋_GB2312" w:eastAsia="仿宋_GB2312" w:cs="仿宋_GB2312"/>
          <w:bCs/>
          <w:color w:val="000000"/>
          <w:sz w:val="32"/>
          <w:szCs w:val="32"/>
        </w:rPr>
        <w:t>加强项目开展进度的跟踪，及时开展项目绩效评价，确保项目绩效目标的完成后及时开展资金支付。</w:t>
      </w:r>
    </w:p>
    <w:tbl>
      <w:tblPr>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2"/>
        <w:gridCol w:w="695"/>
        <w:gridCol w:w="723"/>
        <w:gridCol w:w="1432"/>
        <w:gridCol w:w="809"/>
        <w:gridCol w:w="358"/>
        <w:gridCol w:w="1066"/>
        <w:gridCol w:w="1066"/>
        <w:gridCol w:w="551"/>
        <w:gridCol w:w="669"/>
        <w:gridCol w:w="816"/>
        <w:gridCol w:w="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210"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8"/>
                <w:bdr w:val="none" w:color="auto" w:sz="0" w:space="0"/>
                <w:lang w:val="en-US" w:eastAsia="zh-CN" w:bidi="ar"/>
              </w:rPr>
              <w:t>项目支出绩效自评表</w:t>
            </w:r>
            <w:r>
              <w:rPr>
                <w:rStyle w:val="9"/>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9210" w:type="dxa"/>
            <w:gridSpan w:val="1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7170"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党员远程教育终端站点维修护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6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中共蚌埠市委组织部</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47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蚌埠市党员电化教育中心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204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年初预算数</w:t>
            </w: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16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6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79.73%</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bdr w:val="none" w:color="auto" w:sz="0" w:space="0"/>
                <w:lang w:val="en-US" w:eastAsia="zh-CN" w:bidi="ar"/>
              </w:rPr>
              <w:t xml:space="preserve"> </w:t>
            </w:r>
            <w:r>
              <w:rPr>
                <w:rStyle w:val="11"/>
                <w:bdr w:val="none" w:color="auto" w:sz="0" w:space="0"/>
                <w:lang w:val="en-US" w:eastAsia="zh-CN" w:bidi="ar"/>
              </w:rPr>
              <w:t>其中：本年财政拨款</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6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79.73%</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上年结转资金</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0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bdr w:val="none" w:color="auto" w:sz="0" w:space="0"/>
                <w:lang w:val="en-US" w:eastAsia="zh-CN" w:bidi="ar"/>
              </w:rPr>
              <w:t xml:space="preserve"> </w:t>
            </w:r>
            <w:r>
              <w:rPr>
                <w:rStyle w:val="11"/>
                <w:bdr w:val="none" w:color="auto" w:sz="0" w:space="0"/>
                <w:lang w:val="en-US" w:eastAsia="zh-CN" w:bidi="ar"/>
              </w:rPr>
              <w:t xml:space="preserve">      其他资金</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55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年度总体目标完成情况</w:t>
            </w:r>
          </w:p>
        </w:tc>
        <w:tc>
          <w:tcPr>
            <w:tcW w:w="511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354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5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115"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持续推进蚌埠先锋网和党员远教市级直播频道建设，加大硬件购置和软件优化升级，拓宽远程教育服务功能。 </w:t>
            </w:r>
          </w:p>
        </w:tc>
        <w:tc>
          <w:tcPr>
            <w:tcW w:w="3540"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持续推进蚌埠先锋网和党员远教市级直播频道建设，加大硬件购置和软件优化升级，拓宽远程教育服务功能。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年度绩效指标完成情况</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实际完成值</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(50分)</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购置录放设备</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全年市级频道、网站维修（护）</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≥12次</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12次</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党建栏目制作</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服务水平</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大幅提升</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大幅提升</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保障能力</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稳步提升</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稳步提升</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经费支出时间</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年底之前</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年底之前</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项目总成本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8.77万元</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推动远程教育发展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维护远程教育建设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营造党员电教远教良好学习氛围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推动了党员教育系列平台创新发展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响指标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平台作品质量、内容更新和管理维护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效果较好</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平台对全市党员教育影响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效果显著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效果显著</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auto"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0" w:type="dxa"/>
            <w:gridSpan w:val="6"/>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总分</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0"/>
                <w:szCs w:val="20"/>
                <w:u w:val="none"/>
              </w:rPr>
            </w:pPr>
          </w:p>
        </w:tc>
        <w:tc>
          <w:tcPr>
            <w:tcW w:w="1065" w:type="dxa"/>
            <w:tcBorders>
              <w:top w:val="single" w:color="000000" w:sz="4" w:space="0"/>
              <w:left w:val="single" w:color="auto"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1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spacing w:line="560" w:lineRule="exact"/>
        <w:ind w:firstLine="640"/>
        <w:rPr>
          <w:rFonts w:hint="eastAsia" w:ascii="仿宋_GB2312" w:hAnsi="仿宋_GB2312" w:eastAsia="仿宋_GB2312" w:cs="仿宋_GB2312"/>
          <w:bCs/>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Cs w:val="32"/>
          <w:lang w:eastAsia="zh-CN"/>
        </w:rPr>
      </w:pPr>
    </w:p>
    <w:p>
      <w:pPr>
        <w:adjustRightInd w:val="0"/>
        <w:snapToGrid w:val="0"/>
        <w:spacing w:line="600" w:lineRule="exact"/>
        <w:ind w:firstLine="640" w:firstLineChars="200"/>
        <w:jc w:val="center"/>
        <w:rPr>
          <w:rFonts w:hint="eastAsia" w:ascii="黑体" w:hAnsi="黑体" w:eastAsia="黑体"/>
          <w:szCs w:val="32"/>
        </w:rPr>
      </w:pPr>
      <w:r>
        <w:rPr>
          <w:rFonts w:hint="eastAsia" w:ascii="黑体" w:hAnsi="黑体" w:eastAsia="黑体"/>
          <w:szCs w:val="32"/>
        </w:rPr>
        <w:t>第四部分 名词解释</w:t>
      </w:r>
    </w:p>
    <w:p>
      <w:pPr>
        <w:adjustRightInd w:val="0"/>
        <w:snapToGrid w:val="0"/>
        <w:spacing w:line="600" w:lineRule="exact"/>
        <w:ind w:firstLine="643" w:firstLineChars="200"/>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w:t>
      </w:r>
      <w:r>
        <w:rPr>
          <w:rFonts w:hint="eastAsia" w:ascii="仿宋_GB2312" w:hAnsi="仿宋"/>
          <w:szCs w:val="32"/>
          <w:lang w:eastAsia="zh-CN"/>
        </w:rPr>
        <w:t>单位</w:t>
      </w:r>
      <w:r>
        <w:rPr>
          <w:rFonts w:hint="eastAsia" w:ascii="仿宋_GB2312" w:hAnsi="仿宋"/>
          <w:szCs w:val="32"/>
        </w:rPr>
        <w:t>取得的财政预算资金。</w:t>
      </w:r>
    </w:p>
    <w:p>
      <w:pPr>
        <w:adjustRightInd w:val="0"/>
        <w:snapToGrid w:val="0"/>
        <w:spacing w:line="600" w:lineRule="exact"/>
        <w:rPr>
          <w:rFonts w:hint="eastAsia" w:ascii="仿宋_GB2312" w:hAnsi="仿宋"/>
          <w:szCs w:val="32"/>
        </w:rPr>
      </w:pPr>
      <w:r>
        <w:rPr>
          <w:rFonts w:hint="eastAsia" w:ascii="仿宋_GB2312" w:hAnsi="黑体"/>
          <w:b/>
          <w:sz w:val="32"/>
          <w:szCs w:val="32"/>
          <w:lang w:val="en-US" w:eastAsia="zh-CN"/>
        </w:rPr>
        <w:t xml:space="preserve">    二</w:t>
      </w:r>
      <w:r>
        <w:rPr>
          <w:rFonts w:hint="eastAsia" w:ascii="仿宋_GB2312" w:hAnsi="黑体" w:eastAsia="仿宋_GB2312"/>
          <w:b/>
          <w:sz w:val="32"/>
          <w:szCs w:val="32"/>
        </w:rPr>
        <w:t>、</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w:t>
      </w:r>
      <w:r>
        <w:rPr>
          <w:rFonts w:hint="eastAsia" w:ascii="仿宋_GB2312" w:hAnsi="仿宋"/>
          <w:szCs w:val="32"/>
        </w:rPr>
        <w:t>入。</w:t>
      </w:r>
    </w:p>
    <w:p>
      <w:pPr>
        <w:pStyle w:val="4"/>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b/>
          <w:bCs/>
          <w:sz w:val="32"/>
          <w:szCs w:val="32"/>
          <w:lang w:val="en-US" w:eastAsia="zh-CN"/>
        </w:rPr>
        <w:t xml:space="preserve">   </w:t>
      </w:r>
    </w:p>
    <w:p>
      <w:pPr>
        <w:pStyle w:val="4"/>
        <w:adjustRightInd w:val="0"/>
        <w:snapToGrid w:val="0"/>
        <w:spacing w:before="0" w:beforeAutospacing="0" w:after="0" w:afterAutospacing="0" w:line="600" w:lineRule="exact"/>
        <w:ind w:firstLine="630" w:firstLineChars="196"/>
        <w:rPr>
          <w:rFonts w:hint="eastAsia" w:ascii="仿宋_GB2312" w:hAnsi="黑体" w:eastAsia="仿宋_GB2312"/>
          <w:b/>
          <w:sz w:val="32"/>
          <w:szCs w:val="32"/>
        </w:rPr>
      </w:pP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rPr>
        <w:t>、年末结转和结余：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4"/>
        <w:adjustRightInd w:val="0"/>
        <w:snapToGrid w:val="0"/>
        <w:spacing w:before="0" w:beforeAutospacing="0" w:after="0" w:afterAutospacing="0" w:line="600" w:lineRule="exact"/>
        <w:ind w:firstLine="630" w:firstLineChars="196"/>
        <w:rPr>
          <w:rFonts w:hint="eastAsia" w:ascii="仿宋_GB2312" w:hAnsi="黑体" w:eastAsia="仿宋_GB2312"/>
          <w:sz w:val="32"/>
          <w:szCs w:val="32"/>
        </w:rPr>
      </w:pP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、基本支出：</w:t>
      </w:r>
      <w:r>
        <w:rPr>
          <w:rFonts w:hint="eastAsia" w:ascii="仿宋_GB2312" w:hAnsi="黑体" w:eastAsia="仿宋_GB2312"/>
          <w:sz w:val="32"/>
          <w:szCs w:val="32"/>
        </w:rPr>
        <w:t>指单位为保障其机构正常运转、完成日常工作任务而发生的人员支出和公用支出。</w:t>
      </w:r>
    </w:p>
    <w:p>
      <w:pPr>
        <w:pStyle w:val="4"/>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六</w:t>
      </w:r>
      <w:r>
        <w:rPr>
          <w:rFonts w:hint="eastAsia" w:ascii="仿宋_GB2312" w:hAnsi="黑体" w:eastAsia="仿宋_GB2312"/>
          <w:b/>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4"/>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lang w:val="en-US" w:eastAsia="zh-CN"/>
        </w:rPr>
        <w:t>七</w:t>
      </w:r>
      <w:r>
        <w:rPr>
          <w:rFonts w:hint="eastAsia" w:ascii="仿宋_GB2312" w:hAnsi="黑体" w:eastAsia="仿宋_GB2312"/>
          <w:b/>
          <w:sz w:val="32"/>
          <w:szCs w:val="32"/>
        </w:rPr>
        <w:t>、机关运行经费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numPr>
          <w:ilvl w:val="0"/>
          <w:numId w:val="0"/>
        </w:numPr>
        <w:ind w:firstLine="640" w:firstLineChars="200"/>
        <w:rPr>
          <w:rFonts w:hint="eastAsia" w:ascii="仿宋_GB2312" w:eastAsia="仿宋_GB2312"/>
          <w:color w:val="FF0000"/>
          <w:sz w:val="32"/>
          <w:szCs w:val="32"/>
          <w:highlight w:val="none"/>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082FE"/>
    <w:multiLevelType w:val="singleLevel"/>
    <w:tmpl w:val="CA9082FE"/>
    <w:lvl w:ilvl="0" w:tentative="0">
      <w:start w:val="2"/>
      <w:numFmt w:val="chineseCounting"/>
      <w:suff w:val="space"/>
      <w:lvlText w:val="第%1部分"/>
      <w:lvlJc w:val="left"/>
      <w:rPr>
        <w:rFonts w:hint="eastAsia"/>
      </w:rPr>
    </w:lvl>
  </w:abstractNum>
  <w:abstractNum w:abstractNumId="1">
    <w:nsid w:val="2B97D961"/>
    <w:multiLevelType w:val="singleLevel"/>
    <w:tmpl w:val="2B97D961"/>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NzQ1OTAzZDQ1YWZjOTcwYTNhZThkOGU5MjU3ZDQifQ=="/>
  </w:docVars>
  <w:rsids>
    <w:rsidRoot w:val="08CE241A"/>
    <w:rsid w:val="002A2A0F"/>
    <w:rsid w:val="005A7B7D"/>
    <w:rsid w:val="012B4701"/>
    <w:rsid w:val="013B1482"/>
    <w:rsid w:val="01F82729"/>
    <w:rsid w:val="02854F0B"/>
    <w:rsid w:val="02BC1D4F"/>
    <w:rsid w:val="02F36351"/>
    <w:rsid w:val="032928CD"/>
    <w:rsid w:val="035E1F01"/>
    <w:rsid w:val="03E30F7F"/>
    <w:rsid w:val="03F320E1"/>
    <w:rsid w:val="03FF6885"/>
    <w:rsid w:val="04077330"/>
    <w:rsid w:val="041019D0"/>
    <w:rsid w:val="04391D9D"/>
    <w:rsid w:val="0487435C"/>
    <w:rsid w:val="04A853AD"/>
    <w:rsid w:val="04BD1B14"/>
    <w:rsid w:val="04BF763A"/>
    <w:rsid w:val="051931EE"/>
    <w:rsid w:val="051D4F8C"/>
    <w:rsid w:val="0526325F"/>
    <w:rsid w:val="054929ED"/>
    <w:rsid w:val="05A03755"/>
    <w:rsid w:val="05C07B0D"/>
    <w:rsid w:val="06182FC4"/>
    <w:rsid w:val="06431EA7"/>
    <w:rsid w:val="064D2C03"/>
    <w:rsid w:val="067F1BC4"/>
    <w:rsid w:val="07027C8D"/>
    <w:rsid w:val="075F46F8"/>
    <w:rsid w:val="076C3A01"/>
    <w:rsid w:val="07D90D5D"/>
    <w:rsid w:val="08181954"/>
    <w:rsid w:val="086E55FF"/>
    <w:rsid w:val="08AE1496"/>
    <w:rsid w:val="08CE241A"/>
    <w:rsid w:val="08EC3AA9"/>
    <w:rsid w:val="096D6BFD"/>
    <w:rsid w:val="09C16E8C"/>
    <w:rsid w:val="09E24DC5"/>
    <w:rsid w:val="0AB43B55"/>
    <w:rsid w:val="0ACA6AD7"/>
    <w:rsid w:val="0AE96B29"/>
    <w:rsid w:val="0B0462A6"/>
    <w:rsid w:val="0B5A68BC"/>
    <w:rsid w:val="0B765744"/>
    <w:rsid w:val="0BAE5905"/>
    <w:rsid w:val="0BD374EE"/>
    <w:rsid w:val="0C10492E"/>
    <w:rsid w:val="0C3E0EF6"/>
    <w:rsid w:val="0C504748"/>
    <w:rsid w:val="0C792EA8"/>
    <w:rsid w:val="0C943C7B"/>
    <w:rsid w:val="0CC01BCD"/>
    <w:rsid w:val="0CC11347"/>
    <w:rsid w:val="0CD30872"/>
    <w:rsid w:val="0CE37136"/>
    <w:rsid w:val="0D4678F7"/>
    <w:rsid w:val="0D6C2329"/>
    <w:rsid w:val="0DD36E8E"/>
    <w:rsid w:val="0E6F353B"/>
    <w:rsid w:val="0E720573"/>
    <w:rsid w:val="0E9B60AA"/>
    <w:rsid w:val="0EA3136B"/>
    <w:rsid w:val="0ED232B3"/>
    <w:rsid w:val="0EF52DE4"/>
    <w:rsid w:val="0F342926"/>
    <w:rsid w:val="0F533207"/>
    <w:rsid w:val="0FC25AA9"/>
    <w:rsid w:val="109B4DFE"/>
    <w:rsid w:val="109D64DB"/>
    <w:rsid w:val="10A4411B"/>
    <w:rsid w:val="110D6E74"/>
    <w:rsid w:val="111C024C"/>
    <w:rsid w:val="11312F63"/>
    <w:rsid w:val="11442037"/>
    <w:rsid w:val="116F1376"/>
    <w:rsid w:val="117C6326"/>
    <w:rsid w:val="117F27F8"/>
    <w:rsid w:val="1182099C"/>
    <w:rsid w:val="11E071D0"/>
    <w:rsid w:val="12382C38"/>
    <w:rsid w:val="12465DD1"/>
    <w:rsid w:val="125D1A8E"/>
    <w:rsid w:val="12786986"/>
    <w:rsid w:val="12EC1BBB"/>
    <w:rsid w:val="12EC1F42"/>
    <w:rsid w:val="12F7682C"/>
    <w:rsid w:val="132D462C"/>
    <w:rsid w:val="134A27C6"/>
    <w:rsid w:val="136C3BDA"/>
    <w:rsid w:val="13F148E7"/>
    <w:rsid w:val="14070C5D"/>
    <w:rsid w:val="140A74D4"/>
    <w:rsid w:val="1424511F"/>
    <w:rsid w:val="148D1584"/>
    <w:rsid w:val="149E78ED"/>
    <w:rsid w:val="152B164C"/>
    <w:rsid w:val="15347683"/>
    <w:rsid w:val="15A26BDD"/>
    <w:rsid w:val="15CA2D3E"/>
    <w:rsid w:val="15E71C28"/>
    <w:rsid w:val="160B3BB0"/>
    <w:rsid w:val="16D709CD"/>
    <w:rsid w:val="16EA4D43"/>
    <w:rsid w:val="17164D48"/>
    <w:rsid w:val="17187B63"/>
    <w:rsid w:val="171E7FAF"/>
    <w:rsid w:val="17960041"/>
    <w:rsid w:val="184D1504"/>
    <w:rsid w:val="185C6080"/>
    <w:rsid w:val="185D2204"/>
    <w:rsid w:val="187F409E"/>
    <w:rsid w:val="18A706B9"/>
    <w:rsid w:val="19263BA1"/>
    <w:rsid w:val="195E6FCA"/>
    <w:rsid w:val="19872473"/>
    <w:rsid w:val="19A215B9"/>
    <w:rsid w:val="19BA6426"/>
    <w:rsid w:val="19BB00CB"/>
    <w:rsid w:val="1A3F53E4"/>
    <w:rsid w:val="1A4B2619"/>
    <w:rsid w:val="1A5533AE"/>
    <w:rsid w:val="1A79218D"/>
    <w:rsid w:val="1AFB2D97"/>
    <w:rsid w:val="1B01588B"/>
    <w:rsid w:val="1B7A57C8"/>
    <w:rsid w:val="1BE35EAC"/>
    <w:rsid w:val="1C25510C"/>
    <w:rsid w:val="1C2E1605"/>
    <w:rsid w:val="1C534BB8"/>
    <w:rsid w:val="1CAB701F"/>
    <w:rsid w:val="1CB73BD9"/>
    <w:rsid w:val="1D4A4868"/>
    <w:rsid w:val="1D8A1314"/>
    <w:rsid w:val="1DB51187"/>
    <w:rsid w:val="1DD50D1F"/>
    <w:rsid w:val="1DEE7D5E"/>
    <w:rsid w:val="1DF04643"/>
    <w:rsid w:val="1E3B04AB"/>
    <w:rsid w:val="1E4E5CCA"/>
    <w:rsid w:val="1E507BCE"/>
    <w:rsid w:val="1EAC6A16"/>
    <w:rsid w:val="1EDF6D85"/>
    <w:rsid w:val="1F3D6DE1"/>
    <w:rsid w:val="1FC10024"/>
    <w:rsid w:val="201F5BD2"/>
    <w:rsid w:val="205F10D6"/>
    <w:rsid w:val="20AA672E"/>
    <w:rsid w:val="20E424AA"/>
    <w:rsid w:val="20F264BA"/>
    <w:rsid w:val="20F562BC"/>
    <w:rsid w:val="21150CDE"/>
    <w:rsid w:val="215B5000"/>
    <w:rsid w:val="21AD6F12"/>
    <w:rsid w:val="21BB34F0"/>
    <w:rsid w:val="21FD6D7A"/>
    <w:rsid w:val="22CC2106"/>
    <w:rsid w:val="23073DE8"/>
    <w:rsid w:val="232205B2"/>
    <w:rsid w:val="23731340"/>
    <w:rsid w:val="23A41493"/>
    <w:rsid w:val="23C34FAD"/>
    <w:rsid w:val="24525667"/>
    <w:rsid w:val="24570B42"/>
    <w:rsid w:val="24776DE5"/>
    <w:rsid w:val="247E3EBA"/>
    <w:rsid w:val="249C4DAF"/>
    <w:rsid w:val="24F14B49"/>
    <w:rsid w:val="2551032A"/>
    <w:rsid w:val="255768DE"/>
    <w:rsid w:val="25641E0C"/>
    <w:rsid w:val="25893461"/>
    <w:rsid w:val="259121A9"/>
    <w:rsid w:val="25B81474"/>
    <w:rsid w:val="26127ABA"/>
    <w:rsid w:val="26510966"/>
    <w:rsid w:val="26935FB3"/>
    <w:rsid w:val="26AB4D68"/>
    <w:rsid w:val="26FC2F43"/>
    <w:rsid w:val="278E13C2"/>
    <w:rsid w:val="278E4F1E"/>
    <w:rsid w:val="27C16AAD"/>
    <w:rsid w:val="28026800"/>
    <w:rsid w:val="28543749"/>
    <w:rsid w:val="285B744C"/>
    <w:rsid w:val="285D0DB4"/>
    <w:rsid w:val="28BC23E7"/>
    <w:rsid w:val="28E825AF"/>
    <w:rsid w:val="28F504EF"/>
    <w:rsid w:val="291008D3"/>
    <w:rsid w:val="29A721FC"/>
    <w:rsid w:val="2A287133"/>
    <w:rsid w:val="2A646BA9"/>
    <w:rsid w:val="2AB304C9"/>
    <w:rsid w:val="2ABE3F9D"/>
    <w:rsid w:val="2ACB3B4E"/>
    <w:rsid w:val="2B0410FF"/>
    <w:rsid w:val="2B200A9B"/>
    <w:rsid w:val="2B2142FB"/>
    <w:rsid w:val="2B6D1429"/>
    <w:rsid w:val="2B8F28AA"/>
    <w:rsid w:val="2B983FEA"/>
    <w:rsid w:val="2BE71AC5"/>
    <w:rsid w:val="2BF0133F"/>
    <w:rsid w:val="2C472FE6"/>
    <w:rsid w:val="2C6F6CDB"/>
    <w:rsid w:val="2CB429E4"/>
    <w:rsid w:val="2CFD520B"/>
    <w:rsid w:val="2D0C0574"/>
    <w:rsid w:val="2D872B3B"/>
    <w:rsid w:val="2D984D48"/>
    <w:rsid w:val="2DAB4FC5"/>
    <w:rsid w:val="2DAC0314"/>
    <w:rsid w:val="2DEB17F1"/>
    <w:rsid w:val="2DFE5055"/>
    <w:rsid w:val="2E01763C"/>
    <w:rsid w:val="2E16353E"/>
    <w:rsid w:val="2E1724AB"/>
    <w:rsid w:val="2E56075F"/>
    <w:rsid w:val="2E6F6B94"/>
    <w:rsid w:val="2EB26440"/>
    <w:rsid w:val="2EB7473C"/>
    <w:rsid w:val="2EC1207D"/>
    <w:rsid w:val="2EE432DD"/>
    <w:rsid w:val="2F0449D7"/>
    <w:rsid w:val="2F9B07E7"/>
    <w:rsid w:val="2FF01DBD"/>
    <w:rsid w:val="30AE3173"/>
    <w:rsid w:val="30E20AE3"/>
    <w:rsid w:val="30EA7461"/>
    <w:rsid w:val="30EB7883"/>
    <w:rsid w:val="31491F43"/>
    <w:rsid w:val="31536993"/>
    <w:rsid w:val="315B4DB1"/>
    <w:rsid w:val="31C90501"/>
    <w:rsid w:val="320115F0"/>
    <w:rsid w:val="32402BE0"/>
    <w:rsid w:val="32773D8C"/>
    <w:rsid w:val="327A39E4"/>
    <w:rsid w:val="32851112"/>
    <w:rsid w:val="32F95E34"/>
    <w:rsid w:val="336643F9"/>
    <w:rsid w:val="33812B48"/>
    <w:rsid w:val="3429696D"/>
    <w:rsid w:val="34501E6A"/>
    <w:rsid w:val="345523BC"/>
    <w:rsid w:val="353149FD"/>
    <w:rsid w:val="35955F0E"/>
    <w:rsid w:val="35D530CE"/>
    <w:rsid w:val="363F2B11"/>
    <w:rsid w:val="36806379"/>
    <w:rsid w:val="36BD4AD5"/>
    <w:rsid w:val="37534196"/>
    <w:rsid w:val="37BB31CD"/>
    <w:rsid w:val="37C051CD"/>
    <w:rsid w:val="37DB3DC7"/>
    <w:rsid w:val="38B47C60"/>
    <w:rsid w:val="397F13E3"/>
    <w:rsid w:val="397F58DB"/>
    <w:rsid w:val="39B75D9F"/>
    <w:rsid w:val="39C80A9F"/>
    <w:rsid w:val="39FD6713"/>
    <w:rsid w:val="3A251929"/>
    <w:rsid w:val="3A274AB0"/>
    <w:rsid w:val="3A4F56AD"/>
    <w:rsid w:val="3A8F0A7D"/>
    <w:rsid w:val="3AA91CF0"/>
    <w:rsid w:val="3AC519EF"/>
    <w:rsid w:val="3AEE5942"/>
    <w:rsid w:val="3B5648D9"/>
    <w:rsid w:val="3BE03CC9"/>
    <w:rsid w:val="3C357EC5"/>
    <w:rsid w:val="3C3B1C80"/>
    <w:rsid w:val="3C477797"/>
    <w:rsid w:val="3C7F27F6"/>
    <w:rsid w:val="3C840CED"/>
    <w:rsid w:val="3D3D4F90"/>
    <w:rsid w:val="3D7242CB"/>
    <w:rsid w:val="3D801355"/>
    <w:rsid w:val="3DA71AFC"/>
    <w:rsid w:val="3DD95B58"/>
    <w:rsid w:val="3DF24B82"/>
    <w:rsid w:val="3E4F2013"/>
    <w:rsid w:val="3EA550C7"/>
    <w:rsid w:val="3EF745ED"/>
    <w:rsid w:val="3F657E5F"/>
    <w:rsid w:val="3FA312B6"/>
    <w:rsid w:val="3FF84E59"/>
    <w:rsid w:val="400D39C0"/>
    <w:rsid w:val="401246F8"/>
    <w:rsid w:val="404B55E4"/>
    <w:rsid w:val="40A05CE8"/>
    <w:rsid w:val="40F769EB"/>
    <w:rsid w:val="41886B42"/>
    <w:rsid w:val="41A65407"/>
    <w:rsid w:val="41BF30A4"/>
    <w:rsid w:val="41D46661"/>
    <w:rsid w:val="41D5521B"/>
    <w:rsid w:val="41E80D03"/>
    <w:rsid w:val="41E82086"/>
    <w:rsid w:val="42323768"/>
    <w:rsid w:val="42400209"/>
    <w:rsid w:val="42905D7F"/>
    <w:rsid w:val="42F779C3"/>
    <w:rsid w:val="431948B8"/>
    <w:rsid w:val="434A21E9"/>
    <w:rsid w:val="43985621"/>
    <w:rsid w:val="43B9736F"/>
    <w:rsid w:val="44343DAB"/>
    <w:rsid w:val="443F5AC6"/>
    <w:rsid w:val="443F6547"/>
    <w:rsid w:val="44AB7D4D"/>
    <w:rsid w:val="44CE2C89"/>
    <w:rsid w:val="44D03A23"/>
    <w:rsid w:val="44DC1633"/>
    <w:rsid w:val="457313D9"/>
    <w:rsid w:val="45A73F45"/>
    <w:rsid w:val="45E76CCF"/>
    <w:rsid w:val="45EB2A24"/>
    <w:rsid w:val="45EC7DFF"/>
    <w:rsid w:val="46601D24"/>
    <w:rsid w:val="467B22B0"/>
    <w:rsid w:val="4686527F"/>
    <w:rsid w:val="468E429C"/>
    <w:rsid w:val="468E5218"/>
    <w:rsid w:val="46BB3B98"/>
    <w:rsid w:val="46CD505E"/>
    <w:rsid w:val="47581874"/>
    <w:rsid w:val="47BB5226"/>
    <w:rsid w:val="47C46625"/>
    <w:rsid w:val="483A5C59"/>
    <w:rsid w:val="485350A5"/>
    <w:rsid w:val="485F546D"/>
    <w:rsid w:val="487A6A1F"/>
    <w:rsid w:val="488843A0"/>
    <w:rsid w:val="48B3053C"/>
    <w:rsid w:val="48E66D39"/>
    <w:rsid w:val="48F30F64"/>
    <w:rsid w:val="493C1E17"/>
    <w:rsid w:val="49521DF7"/>
    <w:rsid w:val="49711B2F"/>
    <w:rsid w:val="49F625DF"/>
    <w:rsid w:val="4A2D7323"/>
    <w:rsid w:val="4A5A3216"/>
    <w:rsid w:val="4A8B115D"/>
    <w:rsid w:val="4A975F75"/>
    <w:rsid w:val="4AB07EAF"/>
    <w:rsid w:val="4ABD7AF8"/>
    <w:rsid w:val="4AF956F9"/>
    <w:rsid w:val="4B463238"/>
    <w:rsid w:val="4BA11EF2"/>
    <w:rsid w:val="4BA758F8"/>
    <w:rsid w:val="4C7958ED"/>
    <w:rsid w:val="4C812D65"/>
    <w:rsid w:val="4C894B4E"/>
    <w:rsid w:val="4CCD4816"/>
    <w:rsid w:val="4CE12728"/>
    <w:rsid w:val="4D333CE3"/>
    <w:rsid w:val="4D3D4769"/>
    <w:rsid w:val="4D6D367F"/>
    <w:rsid w:val="4D9E5EDB"/>
    <w:rsid w:val="4DB33CE7"/>
    <w:rsid w:val="4E102FD8"/>
    <w:rsid w:val="4E6A3760"/>
    <w:rsid w:val="4E7002A7"/>
    <w:rsid w:val="4EDF4346"/>
    <w:rsid w:val="4EF7156E"/>
    <w:rsid w:val="4F0278D7"/>
    <w:rsid w:val="4F3E0647"/>
    <w:rsid w:val="4F7E3822"/>
    <w:rsid w:val="4FC06652"/>
    <w:rsid w:val="50001DC6"/>
    <w:rsid w:val="50A84396"/>
    <w:rsid w:val="50AF51FF"/>
    <w:rsid w:val="50E84DEF"/>
    <w:rsid w:val="516E4EBE"/>
    <w:rsid w:val="517D5309"/>
    <w:rsid w:val="519663A6"/>
    <w:rsid w:val="51E151A5"/>
    <w:rsid w:val="51E616F1"/>
    <w:rsid w:val="51FF6EE3"/>
    <w:rsid w:val="5222749B"/>
    <w:rsid w:val="52636E23"/>
    <w:rsid w:val="528B5604"/>
    <w:rsid w:val="528D42BC"/>
    <w:rsid w:val="529146BC"/>
    <w:rsid w:val="530A27CC"/>
    <w:rsid w:val="530E45F6"/>
    <w:rsid w:val="5317379B"/>
    <w:rsid w:val="536B68B4"/>
    <w:rsid w:val="53E35384"/>
    <w:rsid w:val="54CE3649"/>
    <w:rsid w:val="54CF68A8"/>
    <w:rsid w:val="55142657"/>
    <w:rsid w:val="55166B6C"/>
    <w:rsid w:val="554A42CB"/>
    <w:rsid w:val="557C6550"/>
    <w:rsid w:val="55CA1C06"/>
    <w:rsid w:val="55FA3400"/>
    <w:rsid w:val="56060482"/>
    <w:rsid w:val="563352B9"/>
    <w:rsid w:val="565B0081"/>
    <w:rsid w:val="57C2639A"/>
    <w:rsid w:val="5836234E"/>
    <w:rsid w:val="58A962C4"/>
    <w:rsid w:val="58CA58AB"/>
    <w:rsid w:val="58DC519B"/>
    <w:rsid w:val="58ED4ACE"/>
    <w:rsid w:val="59204561"/>
    <w:rsid w:val="59401047"/>
    <w:rsid w:val="598D7AD8"/>
    <w:rsid w:val="59926240"/>
    <w:rsid w:val="5A9E0536"/>
    <w:rsid w:val="5AC8787B"/>
    <w:rsid w:val="5ADE004A"/>
    <w:rsid w:val="5B2155DE"/>
    <w:rsid w:val="5B2C1298"/>
    <w:rsid w:val="5B9337EA"/>
    <w:rsid w:val="5BA610EE"/>
    <w:rsid w:val="5C3B2DFB"/>
    <w:rsid w:val="5C5C7D03"/>
    <w:rsid w:val="5C73523E"/>
    <w:rsid w:val="5C8E4362"/>
    <w:rsid w:val="5CB7271E"/>
    <w:rsid w:val="5CC74453"/>
    <w:rsid w:val="5CF45569"/>
    <w:rsid w:val="5D045C48"/>
    <w:rsid w:val="5D23702D"/>
    <w:rsid w:val="5D2B7A1F"/>
    <w:rsid w:val="5D623D33"/>
    <w:rsid w:val="5D625335"/>
    <w:rsid w:val="5D83037A"/>
    <w:rsid w:val="5DAB6875"/>
    <w:rsid w:val="5DE05293"/>
    <w:rsid w:val="5E1221D9"/>
    <w:rsid w:val="5E6917E6"/>
    <w:rsid w:val="5E73536D"/>
    <w:rsid w:val="5EA06CA6"/>
    <w:rsid w:val="5EBC1DA1"/>
    <w:rsid w:val="5EC84C5C"/>
    <w:rsid w:val="5F036207"/>
    <w:rsid w:val="5F0A3E99"/>
    <w:rsid w:val="5F395318"/>
    <w:rsid w:val="5F566E14"/>
    <w:rsid w:val="5F571ABE"/>
    <w:rsid w:val="5FD44556"/>
    <w:rsid w:val="6053492E"/>
    <w:rsid w:val="60577EBB"/>
    <w:rsid w:val="60B46A9C"/>
    <w:rsid w:val="60BB607C"/>
    <w:rsid w:val="61031589"/>
    <w:rsid w:val="615734FE"/>
    <w:rsid w:val="61A660F3"/>
    <w:rsid w:val="61BF1B9C"/>
    <w:rsid w:val="61CC635E"/>
    <w:rsid w:val="61F32199"/>
    <w:rsid w:val="620D1877"/>
    <w:rsid w:val="621A5D72"/>
    <w:rsid w:val="62251A50"/>
    <w:rsid w:val="629F7651"/>
    <w:rsid w:val="633B5253"/>
    <w:rsid w:val="6361195D"/>
    <w:rsid w:val="641F5987"/>
    <w:rsid w:val="6429154F"/>
    <w:rsid w:val="646667E0"/>
    <w:rsid w:val="64886EC8"/>
    <w:rsid w:val="64BD7629"/>
    <w:rsid w:val="651E684C"/>
    <w:rsid w:val="65667228"/>
    <w:rsid w:val="658D5FDF"/>
    <w:rsid w:val="65C24798"/>
    <w:rsid w:val="65E6594A"/>
    <w:rsid w:val="65F45964"/>
    <w:rsid w:val="663355C0"/>
    <w:rsid w:val="664F5377"/>
    <w:rsid w:val="665B6227"/>
    <w:rsid w:val="666B5C98"/>
    <w:rsid w:val="667F3383"/>
    <w:rsid w:val="66BF45F5"/>
    <w:rsid w:val="66ED681D"/>
    <w:rsid w:val="67083703"/>
    <w:rsid w:val="670870B2"/>
    <w:rsid w:val="672C2D3E"/>
    <w:rsid w:val="676A3FA4"/>
    <w:rsid w:val="682E57D3"/>
    <w:rsid w:val="684F3C7A"/>
    <w:rsid w:val="6850596B"/>
    <w:rsid w:val="68606F5B"/>
    <w:rsid w:val="68727990"/>
    <w:rsid w:val="688B52D5"/>
    <w:rsid w:val="68922C98"/>
    <w:rsid w:val="68AF0B19"/>
    <w:rsid w:val="68BD4ED0"/>
    <w:rsid w:val="692525BF"/>
    <w:rsid w:val="693469CC"/>
    <w:rsid w:val="69882A8B"/>
    <w:rsid w:val="69A906F7"/>
    <w:rsid w:val="69E228CC"/>
    <w:rsid w:val="69E80704"/>
    <w:rsid w:val="69ED7B2F"/>
    <w:rsid w:val="6A8D6E84"/>
    <w:rsid w:val="6B110AC2"/>
    <w:rsid w:val="6B191B66"/>
    <w:rsid w:val="6B6F3C61"/>
    <w:rsid w:val="6B7E6E57"/>
    <w:rsid w:val="6B9D6AAA"/>
    <w:rsid w:val="6BA03651"/>
    <w:rsid w:val="6BCD20CC"/>
    <w:rsid w:val="6BCD40C5"/>
    <w:rsid w:val="6BD85234"/>
    <w:rsid w:val="6BF04216"/>
    <w:rsid w:val="6C0109E0"/>
    <w:rsid w:val="6C35541B"/>
    <w:rsid w:val="6C553F78"/>
    <w:rsid w:val="6C8522AE"/>
    <w:rsid w:val="6CBF2A20"/>
    <w:rsid w:val="6CDD21EE"/>
    <w:rsid w:val="6D015EC6"/>
    <w:rsid w:val="6D0D2DA6"/>
    <w:rsid w:val="6D7E53F1"/>
    <w:rsid w:val="6DC222E4"/>
    <w:rsid w:val="6DD57BB0"/>
    <w:rsid w:val="6E211FA9"/>
    <w:rsid w:val="6E3075E0"/>
    <w:rsid w:val="6E4A6149"/>
    <w:rsid w:val="6E876B9D"/>
    <w:rsid w:val="6EF9319F"/>
    <w:rsid w:val="6F2E3E36"/>
    <w:rsid w:val="6F713CD1"/>
    <w:rsid w:val="6F843573"/>
    <w:rsid w:val="6FA973ED"/>
    <w:rsid w:val="6FB03172"/>
    <w:rsid w:val="6FDD0F33"/>
    <w:rsid w:val="70E316C8"/>
    <w:rsid w:val="70F4495C"/>
    <w:rsid w:val="713524B5"/>
    <w:rsid w:val="715C78A1"/>
    <w:rsid w:val="71CD2E84"/>
    <w:rsid w:val="71CE163E"/>
    <w:rsid w:val="720F7F4B"/>
    <w:rsid w:val="72341A26"/>
    <w:rsid w:val="724C2405"/>
    <w:rsid w:val="72647A0D"/>
    <w:rsid w:val="72682421"/>
    <w:rsid w:val="728B3BB5"/>
    <w:rsid w:val="72AC6747"/>
    <w:rsid w:val="72AC7F1B"/>
    <w:rsid w:val="72C32FE5"/>
    <w:rsid w:val="72E67902"/>
    <w:rsid w:val="72F55C15"/>
    <w:rsid w:val="72F80DDA"/>
    <w:rsid w:val="73073CAC"/>
    <w:rsid w:val="73FC2BD0"/>
    <w:rsid w:val="74613744"/>
    <w:rsid w:val="746D48DF"/>
    <w:rsid w:val="74C82A41"/>
    <w:rsid w:val="750C03A9"/>
    <w:rsid w:val="754A0433"/>
    <w:rsid w:val="756D71A9"/>
    <w:rsid w:val="75B43AB3"/>
    <w:rsid w:val="75F241D6"/>
    <w:rsid w:val="765956F2"/>
    <w:rsid w:val="770E6F56"/>
    <w:rsid w:val="7730383C"/>
    <w:rsid w:val="773E5967"/>
    <w:rsid w:val="77C441F7"/>
    <w:rsid w:val="78365861"/>
    <w:rsid w:val="785610A2"/>
    <w:rsid w:val="78670B6C"/>
    <w:rsid w:val="7868692A"/>
    <w:rsid w:val="79863F5C"/>
    <w:rsid w:val="79E957ED"/>
    <w:rsid w:val="7ACC115A"/>
    <w:rsid w:val="7BB25E7F"/>
    <w:rsid w:val="7BC74313"/>
    <w:rsid w:val="7BDF0887"/>
    <w:rsid w:val="7C9A2A56"/>
    <w:rsid w:val="7CBD248F"/>
    <w:rsid w:val="7D487561"/>
    <w:rsid w:val="7DEB7B49"/>
    <w:rsid w:val="7E1951E3"/>
    <w:rsid w:val="7E3803EC"/>
    <w:rsid w:val="7E6060A1"/>
    <w:rsid w:val="7E800294"/>
    <w:rsid w:val="7E920966"/>
    <w:rsid w:val="7E9F66BA"/>
    <w:rsid w:val="7EA75CB6"/>
    <w:rsid w:val="7EC60960"/>
    <w:rsid w:val="7ED33AAD"/>
    <w:rsid w:val="7EEA0853"/>
    <w:rsid w:val="7F08297D"/>
    <w:rsid w:val="7F3C1903"/>
    <w:rsid w:val="7F876F5F"/>
    <w:rsid w:val="7FAF7A77"/>
    <w:rsid w:val="7FE367C0"/>
    <w:rsid w:val="7FE8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0"/>
    <w:pPr>
      <w:ind w:firstLine="420" w:firstLineChars="200"/>
    </w:pPr>
    <w:rPr>
      <w:rFonts w:ascii="Calibri" w:hAnsi="Calibri" w:eastAsia="宋体"/>
      <w:sz w:val="21"/>
      <w:szCs w:val="21"/>
    </w:rPr>
  </w:style>
  <w:style w:type="character" w:customStyle="1" w:styleId="8">
    <w:name w:val="font81"/>
    <w:basedOn w:val="6"/>
    <w:uiPriority w:val="0"/>
    <w:rPr>
      <w:rFonts w:hint="eastAsia" w:ascii="宋体" w:hAnsi="宋体" w:eastAsia="宋体" w:cs="宋体"/>
      <w:b/>
      <w:bCs/>
      <w:color w:val="000000"/>
      <w:sz w:val="32"/>
      <w:szCs w:val="32"/>
      <w:u w:val="none"/>
    </w:rPr>
  </w:style>
  <w:style w:type="character" w:customStyle="1" w:styleId="9">
    <w:name w:val="font41"/>
    <w:basedOn w:val="6"/>
    <w:uiPriority w:val="0"/>
    <w:rPr>
      <w:rFonts w:hint="eastAsia" w:ascii="宋体" w:hAnsi="宋体" w:eastAsia="宋体" w:cs="宋体"/>
      <w:color w:val="000000"/>
      <w:sz w:val="32"/>
      <w:szCs w:val="32"/>
      <w:u w:val="none"/>
    </w:rPr>
  </w:style>
  <w:style w:type="character" w:customStyle="1" w:styleId="10">
    <w:name w:val="font21"/>
    <w:basedOn w:val="6"/>
    <w:uiPriority w:val="0"/>
    <w:rPr>
      <w:rFonts w:hint="eastAsia" w:ascii="宋体" w:hAnsi="宋体" w:eastAsia="宋体" w:cs="宋体"/>
      <w:color w:val="000000"/>
      <w:sz w:val="20"/>
      <w:szCs w:val="20"/>
      <w:u w:val="none"/>
    </w:rPr>
  </w:style>
  <w:style w:type="character" w:customStyle="1" w:styleId="11">
    <w:name w:val="font9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915;&#31639;&#20844;&#24320;\2&#12289;&#21333;&#20301;&#20844;&#24320;\1&#12289;&#21333;&#20301;&#20844;&#24320;&#25991;&#26412;&#21442;&#32771;&#26684;&#2433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1、单位公开文本参考格式.docx</Template>
  <Pages>30</Pages>
  <Words>7576</Words>
  <Characters>9158</Characters>
  <Lines>0</Lines>
  <Paragraphs>0</Paragraphs>
  <TotalTime>2</TotalTime>
  <ScaleCrop>false</ScaleCrop>
  <LinksUpToDate>false</LinksUpToDate>
  <CharactersWithSpaces>9492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2022-09-23T07:27:00Z</dcterms:created>
  <dc:creator>Administrator</dc:creator>
  <cp:lastModifiedBy>Administrator</cp:lastModifiedBy>
  <dcterms:modified xsi:type="dcterms:W3CDTF">2022-09-27T07:25:09Z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98387EE743C644E18175AF8D97695CF6</vt:lpwstr>
  </property>
</Properties>
</file>